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66ECE" w14:textId="3E39855B" w:rsidR="009F2E1D" w:rsidRPr="001A4269" w:rsidRDefault="005323EB" w:rsidP="009F2E1D">
      <w:pPr>
        <w:tabs>
          <w:tab w:val="left" w:pos="8460"/>
          <w:tab w:val="left" w:pos="9000"/>
        </w:tabs>
        <w:ind w:right="-496"/>
        <w:jc w:val="center"/>
        <w:rPr>
          <w:rFonts w:ascii="Century Gothic" w:hAnsi="Century Gothic"/>
          <w:b/>
          <w:sz w:val="18"/>
          <w:szCs w:val="18"/>
          <w:lang w:val="es-CR"/>
        </w:rPr>
      </w:pPr>
      <w:bookmarkStart w:id="0" w:name="_GoBack"/>
      <w:bookmarkEnd w:id="0"/>
      <w:r w:rsidRPr="001A4269">
        <w:rPr>
          <w:rFonts w:ascii="Century Gothic" w:hAnsi="Century Gothic"/>
          <w:b/>
          <w:sz w:val="18"/>
          <w:szCs w:val="18"/>
          <w:lang w:val="es-CR"/>
        </w:rPr>
        <w:t>INFORMACIÓN</w:t>
      </w:r>
      <w:r w:rsidR="009F2E1D" w:rsidRPr="001A4269">
        <w:rPr>
          <w:rFonts w:ascii="Century Gothic" w:hAnsi="Century Gothic"/>
          <w:b/>
          <w:sz w:val="18"/>
          <w:szCs w:val="18"/>
          <w:lang w:val="es-CR"/>
        </w:rPr>
        <w:t xml:space="preserve"> DE </w:t>
      </w:r>
      <w:r w:rsidR="00443839" w:rsidRPr="001A4269">
        <w:rPr>
          <w:rFonts w:ascii="Century Gothic" w:hAnsi="Century Gothic"/>
          <w:b/>
          <w:sz w:val="18"/>
          <w:szCs w:val="18"/>
          <w:lang w:val="es-CR"/>
        </w:rPr>
        <w:t xml:space="preserve">LA EJECUCIÓN DE </w:t>
      </w:r>
      <w:r w:rsidR="009F2E1D" w:rsidRPr="001A4269">
        <w:rPr>
          <w:rFonts w:ascii="Century Gothic" w:hAnsi="Century Gothic"/>
          <w:b/>
          <w:sz w:val="18"/>
          <w:szCs w:val="18"/>
          <w:lang w:val="es-CR"/>
        </w:rPr>
        <w:t>ALGUNAS INSTI</w:t>
      </w:r>
      <w:r w:rsidR="003A64E1" w:rsidRPr="001A4269">
        <w:rPr>
          <w:rFonts w:ascii="Century Gothic" w:hAnsi="Century Gothic"/>
          <w:b/>
          <w:sz w:val="18"/>
          <w:szCs w:val="18"/>
          <w:lang w:val="es-CR"/>
        </w:rPr>
        <w:t xml:space="preserve">TUCIONES </w:t>
      </w:r>
      <w:r w:rsidR="00AC6542">
        <w:rPr>
          <w:rFonts w:ascii="Century Gothic" w:hAnsi="Century Gothic"/>
          <w:b/>
          <w:sz w:val="18"/>
          <w:szCs w:val="18"/>
          <w:lang w:val="es-CR"/>
        </w:rPr>
        <w:t>AL 30 DE JUNIO DE</w:t>
      </w:r>
      <w:r w:rsidR="003A64E1" w:rsidRPr="001A4269">
        <w:rPr>
          <w:rFonts w:ascii="Century Gothic" w:hAnsi="Century Gothic"/>
          <w:b/>
          <w:sz w:val="18"/>
          <w:szCs w:val="18"/>
          <w:lang w:val="es-CR"/>
        </w:rPr>
        <w:t xml:space="preserve"> 2017</w:t>
      </w:r>
    </w:p>
    <w:p w14:paraId="02E57DD3" w14:textId="77777777" w:rsidR="009F2E1D" w:rsidRPr="001A4269" w:rsidRDefault="009F2E1D" w:rsidP="009F2E1D">
      <w:pPr>
        <w:tabs>
          <w:tab w:val="left" w:pos="8460"/>
          <w:tab w:val="left" w:pos="9000"/>
        </w:tabs>
        <w:ind w:right="-496"/>
        <w:rPr>
          <w:rFonts w:ascii="Century Gothic" w:hAnsi="Century Gothic"/>
          <w:sz w:val="18"/>
          <w:szCs w:val="18"/>
          <w:lang w:val="es-CR"/>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530"/>
      </w:tblGrid>
      <w:tr w:rsidR="009F2E1D" w:rsidRPr="001A4269" w14:paraId="38DA4C9A"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18C8D7" w14:textId="77777777" w:rsidR="009F2E1D" w:rsidRPr="001A4269" w:rsidRDefault="009F2E1D"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CCSS</w:t>
            </w:r>
          </w:p>
        </w:tc>
        <w:tc>
          <w:tcPr>
            <w:tcW w:w="7530" w:type="dxa"/>
            <w:tcBorders>
              <w:top w:val="single" w:sz="4" w:space="0" w:color="auto"/>
              <w:left w:val="single" w:sz="4" w:space="0" w:color="auto"/>
              <w:bottom w:val="single" w:sz="4" w:space="0" w:color="auto"/>
              <w:right w:val="single" w:sz="4" w:space="0" w:color="auto"/>
            </w:tcBorders>
            <w:hideMark/>
          </w:tcPr>
          <w:p w14:paraId="035B9FC8" w14:textId="22C364E8" w:rsidR="00443839" w:rsidRPr="00AC6542" w:rsidRDefault="00AC6542" w:rsidP="00443839">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w:t>
            </w:r>
            <w:r w:rsidR="00443839" w:rsidRPr="00AC6542">
              <w:rPr>
                <w:rFonts w:ascii="Century Gothic" w:hAnsi="Century Gothic" w:cs="Arial"/>
                <w:b/>
                <w:sz w:val="18"/>
                <w:szCs w:val="18"/>
                <w:lang w:val="es-CR"/>
              </w:rPr>
              <w:t>ngresos</w:t>
            </w:r>
            <w:r w:rsidRPr="00AC6542">
              <w:rPr>
                <w:rFonts w:ascii="Century Gothic" w:hAnsi="Century Gothic" w:cs="Arial"/>
                <w:b/>
                <w:sz w:val="18"/>
                <w:szCs w:val="18"/>
                <w:lang w:val="es-CR"/>
              </w:rPr>
              <w:t xml:space="preserve"> </w:t>
            </w:r>
            <w:r w:rsidRPr="00AC6542">
              <w:rPr>
                <w:rFonts w:ascii="Century Gothic" w:hAnsi="Century Gothic" w:cs="Arial"/>
                <w:sz w:val="18"/>
                <w:szCs w:val="18"/>
                <w:lang w:val="es-CR"/>
              </w:rPr>
              <w:t>ejecutados</w:t>
            </w:r>
            <w:r w:rsidR="009F2E1D" w:rsidRPr="00AC6542">
              <w:rPr>
                <w:rFonts w:ascii="Century Gothic" w:hAnsi="Century Gothic" w:cs="Arial"/>
                <w:sz w:val="18"/>
                <w:szCs w:val="18"/>
                <w:lang w:val="es-CR"/>
              </w:rPr>
              <w:t xml:space="preserve">: </w:t>
            </w:r>
            <w:r w:rsidR="00980535" w:rsidRPr="00AC6542">
              <w:rPr>
                <w:rFonts w:ascii="Century Gothic" w:hAnsi="Century Gothic" w:cs="Arial"/>
                <w:sz w:val="18"/>
                <w:szCs w:val="18"/>
                <w:lang w:val="es-CR"/>
              </w:rPr>
              <w:t>¢</w:t>
            </w:r>
            <w:r w:rsidR="00443839" w:rsidRPr="00AC6542">
              <w:rPr>
                <w:rFonts w:ascii="Century Gothic" w:hAnsi="Century Gothic" w:cs="Arial"/>
                <w:sz w:val="18"/>
                <w:szCs w:val="18"/>
                <w:lang w:val="es-CR"/>
              </w:rPr>
              <w:t>2.079.551</w:t>
            </w:r>
            <w:r w:rsidR="00980535" w:rsidRPr="00AC6542">
              <w:rPr>
                <w:rFonts w:ascii="Century Gothic" w:hAnsi="Century Gothic" w:cs="Arial"/>
                <w:sz w:val="18"/>
                <w:szCs w:val="18"/>
                <w:lang w:val="es-CR"/>
              </w:rPr>
              <w:t xml:space="preserve"> millones</w:t>
            </w:r>
            <w:r w:rsidR="00443839" w:rsidRPr="00AC6542">
              <w:rPr>
                <w:rFonts w:ascii="Century Gothic" w:hAnsi="Century Gothic" w:cs="Arial"/>
                <w:sz w:val="18"/>
                <w:szCs w:val="18"/>
                <w:lang w:val="es-CR"/>
              </w:rPr>
              <w:t>, 60,7% de ejecución</w:t>
            </w:r>
            <w:r w:rsidRPr="00AC6542">
              <w:rPr>
                <w:rFonts w:ascii="Century Gothic" w:hAnsi="Century Gothic" w:cs="Arial"/>
                <w:sz w:val="18"/>
                <w:szCs w:val="18"/>
                <w:lang w:val="es-CR"/>
              </w:rPr>
              <w:t>,</w:t>
            </w:r>
            <w:r w:rsidR="00443839" w:rsidRPr="00AC6542">
              <w:rPr>
                <w:rFonts w:ascii="Century Gothic" w:hAnsi="Century Gothic" w:cs="Arial"/>
                <w:sz w:val="18"/>
                <w:szCs w:val="18"/>
                <w:lang w:val="es-CR"/>
              </w:rPr>
              <w:t xml:space="preserve"> 5,9% más que el ingreso ejecutado a junio de 2016.</w:t>
            </w:r>
            <w:r>
              <w:rPr>
                <w:rFonts w:ascii="Century Gothic" w:hAnsi="Century Gothic" w:cs="Arial"/>
                <w:sz w:val="18"/>
                <w:szCs w:val="18"/>
                <w:lang w:val="es-CR"/>
              </w:rPr>
              <w:t xml:space="preserve"> </w:t>
            </w:r>
            <w:r w:rsidRPr="00AC6542">
              <w:rPr>
                <w:rFonts w:ascii="Century Gothic" w:hAnsi="Century Gothic" w:cs="Arial"/>
                <w:b/>
                <w:sz w:val="18"/>
                <w:szCs w:val="18"/>
                <w:lang w:val="es-CR"/>
              </w:rPr>
              <w:t>E</w:t>
            </w:r>
            <w:r w:rsidR="00443839" w:rsidRPr="00AC6542">
              <w:rPr>
                <w:rFonts w:ascii="Century Gothic" w:hAnsi="Century Gothic" w:cs="Arial"/>
                <w:b/>
                <w:sz w:val="18"/>
                <w:szCs w:val="18"/>
                <w:lang w:val="es-CR"/>
              </w:rPr>
              <w:t>gresos</w:t>
            </w:r>
            <w:r w:rsidRPr="00AC6542">
              <w:rPr>
                <w:rFonts w:ascii="Century Gothic" w:hAnsi="Century Gothic" w:cs="Arial"/>
                <w:b/>
                <w:sz w:val="18"/>
                <w:szCs w:val="18"/>
                <w:lang w:val="es-CR"/>
              </w:rPr>
              <w:t xml:space="preserve"> </w:t>
            </w:r>
            <w:r w:rsidRPr="00AC6542">
              <w:rPr>
                <w:rFonts w:ascii="Century Gothic" w:hAnsi="Century Gothic" w:cs="Arial"/>
                <w:sz w:val="18"/>
                <w:szCs w:val="18"/>
                <w:lang w:val="es-CR"/>
              </w:rPr>
              <w:t>ejecutados</w:t>
            </w:r>
            <w:r w:rsidR="00443839" w:rsidRPr="00AC6542">
              <w:rPr>
                <w:rFonts w:ascii="Century Gothic" w:hAnsi="Century Gothic" w:cs="Arial"/>
                <w:b/>
                <w:sz w:val="18"/>
                <w:szCs w:val="18"/>
                <w:lang w:val="es-CR"/>
              </w:rPr>
              <w:t>:</w:t>
            </w:r>
            <w:r w:rsidR="00443839" w:rsidRPr="00AC6542">
              <w:rPr>
                <w:rFonts w:ascii="Century Gothic" w:hAnsi="Century Gothic" w:cs="Arial"/>
                <w:sz w:val="18"/>
                <w:szCs w:val="18"/>
                <w:lang w:val="es-CR"/>
              </w:rPr>
              <w:t xml:space="preserve"> ¢1.453.369 millones, 42,4% de ejecución y 6,1% más que el egreso ejecutado a junio de 2016.</w:t>
            </w:r>
          </w:p>
          <w:p w14:paraId="6D0D78A5" w14:textId="22979F89" w:rsidR="001A4269" w:rsidRPr="001A4269" w:rsidRDefault="002B2D8C" w:rsidP="002B2D8C">
            <w:pPr>
              <w:numPr>
                <w:ilvl w:val="0"/>
                <w:numId w:val="1"/>
              </w:numPr>
              <w:jc w:val="both"/>
              <w:rPr>
                <w:rFonts w:ascii="Century Gothic" w:hAnsi="Century Gothic" w:cs="Arial"/>
                <w:sz w:val="18"/>
                <w:szCs w:val="18"/>
                <w:lang w:val="es-CR"/>
              </w:rPr>
            </w:pPr>
            <w:r w:rsidRPr="002B2D8C">
              <w:rPr>
                <w:rFonts w:ascii="Century Gothic" w:hAnsi="Century Gothic" w:cs="Arial"/>
                <w:sz w:val="18"/>
                <w:szCs w:val="18"/>
                <w:lang w:val="es-CR"/>
              </w:rPr>
              <w:t>El régimen SEM presenta, en comparación con el primer semestre del año anterior, un crecimiento de los ingresos (7,1%) menor que de los egresos (8,2%). Contrariamente, tanto en el régimen de IVM como en el RNCP los ingresos crecen más (3,7% y 3,4%, respectivamente) que los egresos (2,8% y 2,0% en el mismo orden).</w:t>
            </w:r>
          </w:p>
        </w:tc>
      </w:tr>
      <w:tr w:rsidR="00443839" w:rsidRPr="001A4269" w14:paraId="07CBED12"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970C3" w14:textId="77777777" w:rsidR="00443839" w:rsidRPr="001A4269" w:rsidRDefault="00443839"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ICE</w:t>
            </w:r>
          </w:p>
          <w:p w14:paraId="4A27A0E3" w14:textId="77777777" w:rsidR="00443839" w:rsidRPr="001A4269" w:rsidRDefault="00443839" w:rsidP="00443839">
            <w:pPr>
              <w:jc w:val="center"/>
              <w:rPr>
                <w:rFonts w:ascii="Century Gothic" w:hAnsi="Century Gothic" w:cs="Arial"/>
                <w:b/>
                <w:sz w:val="18"/>
                <w:szCs w:val="18"/>
                <w:lang w:val="es-CR"/>
              </w:rPr>
            </w:pPr>
          </w:p>
        </w:tc>
        <w:tc>
          <w:tcPr>
            <w:tcW w:w="7530" w:type="dxa"/>
            <w:tcBorders>
              <w:top w:val="single" w:sz="4" w:space="0" w:color="auto"/>
              <w:left w:val="single" w:sz="4" w:space="0" w:color="auto"/>
              <w:bottom w:val="single" w:sz="4" w:space="0" w:color="auto"/>
              <w:right w:val="single" w:sz="4" w:space="0" w:color="auto"/>
            </w:tcBorders>
          </w:tcPr>
          <w:p w14:paraId="7BE9AA99" w14:textId="4E42B22E" w:rsidR="006A0EF2" w:rsidRPr="001A4269" w:rsidRDefault="00AC6542" w:rsidP="006A0EF2">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1A4269" w:rsidRPr="001A4269">
              <w:rPr>
                <w:rFonts w:ascii="Century Gothic" w:hAnsi="Century Gothic" w:cs="Arial"/>
                <w:sz w:val="18"/>
                <w:szCs w:val="18"/>
                <w:lang w:val="es-CR"/>
              </w:rPr>
              <w:t>¢</w:t>
            </w:r>
            <w:r w:rsidR="001A4269">
              <w:rPr>
                <w:rFonts w:ascii="Century Gothic" w:hAnsi="Century Gothic" w:cs="Arial"/>
                <w:sz w:val="18"/>
                <w:szCs w:val="18"/>
                <w:lang w:val="es-CR"/>
              </w:rPr>
              <w:t>988.710</w:t>
            </w:r>
            <w:r w:rsidR="001A4269" w:rsidRPr="001A4269">
              <w:rPr>
                <w:rFonts w:ascii="Century Gothic" w:hAnsi="Century Gothic" w:cs="Arial"/>
                <w:sz w:val="18"/>
                <w:szCs w:val="18"/>
                <w:lang w:val="es-CR"/>
              </w:rPr>
              <w:t xml:space="preserve"> millones, </w:t>
            </w:r>
            <w:r w:rsidR="001A4269">
              <w:rPr>
                <w:rFonts w:ascii="Century Gothic" w:hAnsi="Century Gothic" w:cs="Arial"/>
                <w:sz w:val="18"/>
                <w:szCs w:val="18"/>
                <w:lang w:val="es-CR"/>
              </w:rPr>
              <w:t>53,8</w:t>
            </w:r>
            <w:r w:rsidR="001A4269" w:rsidRPr="001A4269">
              <w:rPr>
                <w:rFonts w:ascii="Century Gothic" w:hAnsi="Century Gothic" w:cs="Arial"/>
                <w:sz w:val="18"/>
                <w:szCs w:val="18"/>
                <w:lang w:val="es-CR"/>
              </w:rPr>
              <w:t xml:space="preserve">% de ejecución y </w:t>
            </w:r>
            <w:r w:rsidR="001A4269">
              <w:rPr>
                <w:rFonts w:ascii="Century Gothic" w:hAnsi="Century Gothic" w:cs="Arial"/>
                <w:sz w:val="18"/>
                <w:szCs w:val="18"/>
                <w:lang w:val="es-CR"/>
              </w:rPr>
              <w:t>4,7</w:t>
            </w:r>
            <w:r w:rsidR="001A4269" w:rsidRPr="001A4269">
              <w:rPr>
                <w:rFonts w:ascii="Century Gothic" w:hAnsi="Century Gothic" w:cs="Arial"/>
                <w:sz w:val="18"/>
                <w:szCs w:val="18"/>
                <w:lang w:val="es-CR"/>
              </w:rPr>
              <w:t xml:space="preserve">% </w:t>
            </w:r>
            <w:r w:rsidR="001A4269">
              <w:rPr>
                <w:rFonts w:ascii="Century Gothic" w:hAnsi="Century Gothic" w:cs="Arial"/>
                <w:sz w:val="18"/>
                <w:szCs w:val="18"/>
                <w:lang w:val="es-CR"/>
              </w:rPr>
              <w:t xml:space="preserve">menos </w:t>
            </w:r>
            <w:r w:rsidR="001A4269" w:rsidRPr="001A4269">
              <w:rPr>
                <w:rFonts w:ascii="Century Gothic" w:hAnsi="Century Gothic" w:cs="Arial"/>
                <w:sz w:val="18"/>
                <w:szCs w:val="18"/>
                <w:lang w:val="es-CR"/>
              </w:rPr>
              <w:t>que el ingreso ejecutado a junio de 2016.</w:t>
            </w:r>
            <w:r w:rsidR="006A0EF2" w:rsidRPr="00AC6542">
              <w:rPr>
                <w:rFonts w:ascii="Century Gothic" w:hAnsi="Century Gothic" w:cs="Arial"/>
                <w:b/>
                <w:sz w:val="18"/>
                <w:szCs w:val="18"/>
                <w:lang w:val="es-CR"/>
              </w:rPr>
              <w:t xml:space="preserve"> E</w:t>
            </w:r>
            <w:r w:rsidR="006A0EF2" w:rsidRPr="001A4269">
              <w:rPr>
                <w:rFonts w:ascii="Century Gothic" w:hAnsi="Century Gothic" w:cs="Arial"/>
                <w:b/>
                <w:sz w:val="18"/>
                <w:szCs w:val="18"/>
                <w:lang w:val="es-CR"/>
              </w:rPr>
              <w:t>gresos</w:t>
            </w:r>
            <w:r w:rsidR="006A0EF2">
              <w:rPr>
                <w:rFonts w:ascii="Century Gothic" w:hAnsi="Century Gothic" w:cs="Arial"/>
                <w:b/>
                <w:sz w:val="18"/>
                <w:szCs w:val="18"/>
                <w:lang w:val="es-CR"/>
              </w:rPr>
              <w:t xml:space="preserve"> </w:t>
            </w:r>
            <w:r w:rsidR="006A0EF2" w:rsidRPr="00AC6542">
              <w:rPr>
                <w:rFonts w:ascii="Century Gothic" w:hAnsi="Century Gothic" w:cs="Arial"/>
                <w:sz w:val="18"/>
                <w:szCs w:val="18"/>
                <w:lang w:val="es-CR"/>
              </w:rPr>
              <w:t>ejecutados</w:t>
            </w:r>
            <w:r w:rsidR="006A0EF2" w:rsidRPr="001A4269">
              <w:rPr>
                <w:rFonts w:ascii="Century Gothic" w:hAnsi="Century Gothic" w:cs="Arial"/>
                <w:b/>
                <w:sz w:val="18"/>
                <w:szCs w:val="18"/>
                <w:lang w:val="es-CR"/>
              </w:rPr>
              <w:t>:</w:t>
            </w:r>
            <w:r w:rsidR="006A0EF2" w:rsidRPr="001A4269">
              <w:rPr>
                <w:rFonts w:ascii="Century Gothic" w:hAnsi="Century Gothic" w:cs="Arial"/>
                <w:sz w:val="18"/>
                <w:szCs w:val="18"/>
                <w:lang w:val="es-CR"/>
              </w:rPr>
              <w:t xml:space="preserve"> ¢</w:t>
            </w:r>
            <w:r w:rsidR="006A0EF2">
              <w:rPr>
                <w:rFonts w:ascii="Century Gothic" w:hAnsi="Century Gothic" w:cs="Arial"/>
                <w:sz w:val="18"/>
                <w:szCs w:val="18"/>
                <w:lang w:val="es-CR"/>
              </w:rPr>
              <w:t>751.787</w:t>
            </w:r>
            <w:r w:rsidR="006A0EF2" w:rsidRPr="001A4269">
              <w:rPr>
                <w:rFonts w:ascii="Century Gothic" w:hAnsi="Century Gothic" w:cs="Arial"/>
                <w:sz w:val="18"/>
                <w:szCs w:val="18"/>
                <w:lang w:val="es-CR"/>
              </w:rPr>
              <w:t xml:space="preserve"> millones, </w:t>
            </w:r>
            <w:r w:rsidR="006A0EF2">
              <w:rPr>
                <w:rFonts w:ascii="Century Gothic" w:hAnsi="Century Gothic" w:cs="Arial"/>
                <w:sz w:val="18"/>
                <w:szCs w:val="18"/>
                <w:lang w:val="es-CR"/>
              </w:rPr>
              <w:t>40,9</w:t>
            </w:r>
            <w:r w:rsidR="006A0EF2" w:rsidRPr="001A4269">
              <w:rPr>
                <w:rFonts w:ascii="Century Gothic" w:hAnsi="Century Gothic" w:cs="Arial"/>
                <w:sz w:val="18"/>
                <w:szCs w:val="18"/>
                <w:lang w:val="es-CR"/>
              </w:rPr>
              <w:t xml:space="preserve">% de ejecución y </w:t>
            </w:r>
            <w:r w:rsidR="006A0EF2">
              <w:rPr>
                <w:rFonts w:ascii="Century Gothic" w:hAnsi="Century Gothic" w:cs="Arial"/>
                <w:sz w:val="18"/>
                <w:szCs w:val="18"/>
                <w:lang w:val="es-CR"/>
              </w:rPr>
              <w:t>4,0</w:t>
            </w:r>
            <w:r w:rsidR="006A0EF2" w:rsidRPr="001A4269">
              <w:rPr>
                <w:rFonts w:ascii="Century Gothic" w:hAnsi="Century Gothic" w:cs="Arial"/>
                <w:sz w:val="18"/>
                <w:szCs w:val="18"/>
                <w:lang w:val="es-CR"/>
              </w:rPr>
              <w:t>% más que el egreso ejecutado a junio de 2016.</w:t>
            </w:r>
          </w:p>
          <w:p w14:paraId="498C50CD" w14:textId="77777777" w:rsidR="001A4269" w:rsidRPr="001A4269" w:rsidRDefault="001A4269" w:rsidP="001A4269">
            <w:pPr>
              <w:numPr>
                <w:ilvl w:val="0"/>
                <w:numId w:val="1"/>
              </w:numPr>
              <w:jc w:val="both"/>
              <w:rPr>
                <w:rFonts w:ascii="Century Gothic" w:hAnsi="Century Gothic" w:cs="Arial"/>
                <w:sz w:val="18"/>
                <w:szCs w:val="18"/>
                <w:lang w:val="es-CR"/>
              </w:rPr>
            </w:pPr>
            <w:r w:rsidRPr="001A4269">
              <w:rPr>
                <w:rFonts w:ascii="Century Gothic" w:hAnsi="Century Gothic" w:cs="Arial"/>
                <w:sz w:val="18"/>
                <w:szCs w:val="18"/>
                <w:lang w:val="es-CR"/>
              </w:rPr>
              <w:t xml:space="preserve">Los </w:t>
            </w:r>
            <w:r w:rsidRPr="001A4269">
              <w:rPr>
                <w:rFonts w:ascii="Century Gothic" w:hAnsi="Century Gothic" w:cs="Arial"/>
                <w:b/>
                <w:sz w:val="18"/>
                <w:szCs w:val="18"/>
                <w:lang w:val="es-CR"/>
              </w:rPr>
              <w:t>ingresos están compuestos</w:t>
            </w:r>
            <w:r w:rsidRPr="001A4269">
              <w:rPr>
                <w:rFonts w:ascii="Century Gothic" w:hAnsi="Century Gothic" w:cs="Arial"/>
                <w:sz w:val="18"/>
                <w:szCs w:val="18"/>
                <w:lang w:val="es-CR"/>
              </w:rPr>
              <w:t xml:space="preserve"> principalmente por </w:t>
            </w:r>
            <w:r w:rsidR="00A21964">
              <w:rPr>
                <w:rFonts w:ascii="Century Gothic" w:hAnsi="Century Gothic" w:cs="Arial"/>
                <w:sz w:val="18"/>
                <w:szCs w:val="18"/>
                <w:lang w:val="es-CR"/>
              </w:rPr>
              <w:t>ingresos corrientes</w:t>
            </w:r>
            <w:r w:rsidRPr="001A4269">
              <w:rPr>
                <w:rFonts w:ascii="Century Gothic" w:hAnsi="Century Gothic" w:cs="Arial"/>
                <w:sz w:val="18"/>
                <w:szCs w:val="18"/>
                <w:lang w:val="es-CR"/>
              </w:rPr>
              <w:t xml:space="preserve"> (</w:t>
            </w:r>
            <w:r w:rsidR="00A21964">
              <w:rPr>
                <w:rFonts w:ascii="Century Gothic" w:hAnsi="Century Gothic" w:cs="Arial"/>
                <w:sz w:val="18"/>
                <w:szCs w:val="18"/>
                <w:lang w:val="es-CR"/>
              </w:rPr>
              <w:t xml:space="preserve">67,7%) </w:t>
            </w:r>
            <w:r w:rsidRPr="001A4269">
              <w:rPr>
                <w:rFonts w:ascii="Century Gothic" w:hAnsi="Century Gothic" w:cs="Arial"/>
                <w:sz w:val="18"/>
                <w:szCs w:val="18"/>
                <w:lang w:val="es-CR"/>
              </w:rPr>
              <w:t xml:space="preserve">y </w:t>
            </w:r>
            <w:r w:rsidR="00A21964">
              <w:rPr>
                <w:rFonts w:ascii="Century Gothic" w:hAnsi="Century Gothic" w:cs="Arial"/>
                <w:sz w:val="18"/>
                <w:szCs w:val="18"/>
                <w:lang w:val="es-CR"/>
              </w:rPr>
              <w:t>financiamiento (31,8</w:t>
            </w:r>
            <w:r w:rsidRPr="001A4269">
              <w:rPr>
                <w:rFonts w:ascii="Century Gothic" w:hAnsi="Century Gothic" w:cs="Arial"/>
                <w:sz w:val="18"/>
                <w:szCs w:val="18"/>
                <w:lang w:val="es-CR"/>
              </w:rPr>
              <w:t>%).</w:t>
            </w:r>
          </w:p>
          <w:p w14:paraId="79889513" w14:textId="77777777" w:rsidR="00443839" w:rsidRPr="00A21964" w:rsidRDefault="001A4269" w:rsidP="00A21964">
            <w:pPr>
              <w:numPr>
                <w:ilvl w:val="0"/>
                <w:numId w:val="1"/>
              </w:numPr>
              <w:jc w:val="both"/>
              <w:rPr>
                <w:rFonts w:ascii="Century Gothic" w:hAnsi="Century Gothic" w:cs="Arial"/>
                <w:sz w:val="18"/>
                <w:szCs w:val="18"/>
                <w:lang w:val="es-CR"/>
              </w:rPr>
            </w:pPr>
            <w:r w:rsidRPr="001A4269">
              <w:rPr>
                <w:rFonts w:ascii="Century Gothic" w:hAnsi="Century Gothic" w:cs="Arial"/>
                <w:sz w:val="18"/>
                <w:szCs w:val="18"/>
                <w:lang w:val="es-CR"/>
              </w:rPr>
              <w:t xml:space="preserve">Los </w:t>
            </w:r>
            <w:r w:rsidRPr="001A4269">
              <w:rPr>
                <w:rFonts w:ascii="Century Gothic" w:hAnsi="Century Gothic" w:cs="Arial"/>
                <w:b/>
                <w:sz w:val="18"/>
                <w:szCs w:val="18"/>
                <w:lang w:val="es-CR"/>
              </w:rPr>
              <w:t>egresos están compuestos</w:t>
            </w:r>
            <w:r w:rsidRPr="001A4269">
              <w:rPr>
                <w:rFonts w:ascii="Century Gothic" w:hAnsi="Century Gothic" w:cs="Arial"/>
                <w:sz w:val="18"/>
                <w:szCs w:val="18"/>
                <w:lang w:val="es-CR"/>
              </w:rPr>
              <w:t xml:space="preserve"> principalmente por remuneraciones (</w:t>
            </w:r>
            <w:r w:rsidR="00A21964">
              <w:rPr>
                <w:rFonts w:ascii="Century Gothic" w:hAnsi="Century Gothic" w:cs="Arial"/>
                <w:sz w:val="18"/>
                <w:szCs w:val="18"/>
                <w:lang w:val="es-CR"/>
              </w:rPr>
              <w:t>22,9</w:t>
            </w:r>
            <w:r w:rsidRPr="001A4269">
              <w:rPr>
                <w:rFonts w:ascii="Century Gothic" w:hAnsi="Century Gothic" w:cs="Arial"/>
                <w:sz w:val="18"/>
                <w:szCs w:val="18"/>
                <w:lang w:val="es-CR"/>
              </w:rPr>
              <w:t>%), materiales y suministros (</w:t>
            </w:r>
            <w:r w:rsidR="00A21964">
              <w:rPr>
                <w:rFonts w:ascii="Century Gothic" w:hAnsi="Century Gothic" w:cs="Arial"/>
                <w:sz w:val="18"/>
                <w:szCs w:val="18"/>
                <w:lang w:val="es-CR"/>
              </w:rPr>
              <w:t>19,2</w:t>
            </w:r>
            <w:r w:rsidRPr="001A4269">
              <w:rPr>
                <w:rFonts w:ascii="Century Gothic" w:hAnsi="Century Gothic" w:cs="Arial"/>
                <w:sz w:val="18"/>
                <w:szCs w:val="18"/>
                <w:lang w:val="es-CR"/>
              </w:rPr>
              <w:t xml:space="preserve">%), </w:t>
            </w:r>
            <w:r w:rsidR="00A21964">
              <w:rPr>
                <w:rFonts w:ascii="Century Gothic" w:hAnsi="Century Gothic" w:cs="Arial"/>
                <w:sz w:val="18"/>
                <w:szCs w:val="18"/>
                <w:lang w:val="es-CR"/>
              </w:rPr>
              <w:t>servicios (18,8</w:t>
            </w:r>
            <w:r w:rsidRPr="001A4269">
              <w:rPr>
                <w:rFonts w:ascii="Century Gothic" w:hAnsi="Century Gothic" w:cs="Arial"/>
                <w:sz w:val="18"/>
                <w:szCs w:val="18"/>
                <w:lang w:val="es-CR"/>
              </w:rPr>
              <w:t>%)</w:t>
            </w:r>
            <w:r w:rsidR="00A21964">
              <w:rPr>
                <w:rFonts w:ascii="Century Gothic" w:hAnsi="Century Gothic" w:cs="Arial"/>
                <w:sz w:val="18"/>
                <w:szCs w:val="18"/>
                <w:lang w:val="es-CR"/>
              </w:rPr>
              <w:t xml:space="preserve"> e</w:t>
            </w:r>
            <w:r w:rsidR="00C12474">
              <w:rPr>
                <w:rFonts w:ascii="Century Gothic" w:hAnsi="Century Gothic" w:cs="Arial"/>
                <w:sz w:val="18"/>
                <w:szCs w:val="18"/>
                <w:lang w:val="es-CR"/>
              </w:rPr>
              <w:t xml:space="preserve"> intereses y comisiones (11,0%).</w:t>
            </w:r>
          </w:p>
        </w:tc>
      </w:tr>
      <w:tr w:rsidR="00443839" w:rsidRPr="001A4269" w14:paraId="235411F0"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2860F" w14:textId="77777777" w:rsidR="00443839" w:rsidRPr="001A4269" w:rsidRDefault="00443839" w:rsidP="00443839">
            <w:pPr>
              <w:ind w:left="142"/>
              <w:jc w:val="center"/>
              <w:rPr>
                <w:rFonts w:ascii="Century Gothic" w:hAnsi="Century Gothic" w:cs="Arial"/>
                <w:b/>
                <w:sz w:val="18"/>
                <w:szCs w:val="18"/>
                <w:lang w:val="es-CR"/>
              </w:rPr>
            </w:pPr>
            <w:r w:rsidRPr="001A4269">
              <w:rPr>
                <w:rFonts w:ascii="Century Gothic" w:hAnsi="Century Gothic" w:cs="Arial"/>
                <w:b/>
                <w:sz w:val="18"/>
                <w:szCs w:val="18"/>
                <w:lang w:val="es-CR"/>
              </w:rPr>
              <w:t>Entidades de Educación Superior</w:t>
            </w:r>
          </w:p>
        </w:tc>
        <w:tc>
          <w:tcPr>
            <w:tcW w:w="7530" w:type="dxa"/>
            <w:tcBorders>
              <w:top w:val="single" w:sz="4" w:space="0" w:color="auto"/>
              <w:left w:val="single" w:sz="4" w:space="0" w:color="auto"/>
              <w:bottom w:val="single" w:sz="4" w:space="0" w:color="auto"/>
              <w:right w:val="single" w:sz="4" w:space="0" w:color="auto"/>
            </w:tcBorders>
          </w:tcPr>
          <w:p w14:paraId="39EDC1F8" w14:textId="30B0D9E9" w:rsidR="00A21964" w:rsidRPr="001A4269" w:rsidRDefault="00AC6542" w:rsidP="006A0EF2">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A21964" w:rsidRPr="001A4269">
              <w:rPr>
                <w:rFonts w:ascii="Century Gothic" w:hAnsi="Century Gothic" w:cs="Arial"/>
                <w:sz w:val="18"/>
                <w:szCs w:val="18"/>
                <w:lang w:val="es-CR"/>
              </w:rPr>
              <w:t>¢</w:t>
            </w:r>
            <w:r w:rsidR="00A21964">
              <w:rPr>
                <w:rFonts w:ascii="Century Gothic" w:hAnsi="Century Gothic" w:cs="Arial"/>
                <w:sz w:val="18"/>
                <w:szCs w:val="18"/>
                <w:lang w:val="es-CR"/>
              </w:rPr>
              <w:t xml:space="preserve">447.098 </w:t>
            </w:r>
            <w:r w:rsidR="00A21964" w:rsidRPr="001A4269">
              <w:rPr>
                <w:rFonts w:ascii="Century Gothic" w:hAnsi="Century Gothic" w:cs="Arial"/>
                <w:sz w:val="18"/>
                <w:szCs w:val="18"/>
                <w:lang w:val="es-CR"/>
              </w:rPr>
              <w:t xml:space="preserve">millones, </w:t>
            </w:r>
            <w:r w:rsidR="00A21964">
              <w:rPr>
                <w:rFonts w:ascii="Century Gothic" w:hAnsi="Century Gothic" w:cs="Arial"/>
                <w:sz w:val="18"/>
                <w:szCs w:val="18"/>
                <w:lang w:val="es-CR"/>
              </w:rPr>
              <w:t>60,0</w:t>
            </w:r>
            <w:r w:rsidR="00A21964" w:rsidRPr="001A4269">
              <w:rPr>
                <w:rFonts w:ascii="Century Gothic" w:hAnsi="Century Gothic" w:cs="Arial"/>
                <w:sz w:val="18"/>
                <w:szCs w:val="18"/>
                <w:lang w:val="es-CR"/>
              </w:rPr>
              <w:t xml:space="preserve">% de ejecución y </w:t>
            </w:r>
            <w:r w:rsidR="00A21964">
              <w:rPr>
                <w:rFonts w:ascii="Century Gothic" w:hAnsi="Century Gothic" w:cs="Arial"/>
                <w:sz w:val="18"/>
                <w:szCs w:val="18"/>
                <w:lang w:val="es-CR"/>
              </w:rPr>
              <w:t>7,4</w:t>
            </w:r>
            <w:r w:rsidR="00A21964" w:rsidRPr="001A4269">
              <w:rPr>
                <w:rFonts w:ascii="Century Gothic" w:hAnsi="Century Gothic" w:cs="Arial"/>
                <w:sz w:val="18"/>
                <w:szCs w:val="18"/>
                <w:lang w:val="es-CR"/>
              </w:rPr>
              <w:t xml:space="preserve">% </w:t>
            </w:r>
            <w:r w:rsidR="00A21964">
              <w:rPr>
                <w:rFonts w:ascii="Century Gothic" w:hAnsi="Century Gothic" w:cs="Arial"/>
                <w:sz w:val="18"/>
                <w:szCs w:val="18"/>
                <w:lang w:val="es-CR"/>
              </w:rPr>
              <w:t xml:space="preserve">más </w:t>
            </w:r>
            <w:r w:rsidR="00A21964" w:rsidRPr="001A4269">
              <w:rPr>
                <w:rFonts w:ascii="Century Gothic" w:hAnsi="Century Gothic" w:cs="Arial"/>
                <w:sz w:val="18"/>
                <w:szCs w:val="18"/>
                <w:lang w:val="es-CR"/>
              </w:rPr>
              <w:t>que el ingreso ejecutado a junio de 2016.</w:t>
            </w:r>
            <w:r w:rsidR="006A0EF2" w:rsidRPr="00AC6542">
              <w:rPr>
                <w:rFonts w:ascii="Century Gothic" w:hAnsi="Century Gothic" w:cs="Arial"/>
                <w:b/>
                <w:sz w:val="18"/>
                <w:szCs w:val="18"/>
                <w:lang w:val="es-CR"/>
              </w:rPr>
              <w:t xml:space="preserve"> E</w:t>
            </w:r>
            <w:r w:rsidR="006A0EF2" w:rsidRPr="001A4269">
              <w:rPr>
                <w:rFonts w:ascii="Century Gothic" w:hAnsi="Century Gothic" w:cs="Arial"/>
                <w:b/>
                <w:sz w:val="18"/>
                <w:szCs w:val="18"/>
                <w:lang w:val="es-CR"/>
              </w:rPr>
              <w:t>gresos</w:t>
            </w:r>
            <w:r w:rsidR="006A0EF2">
              <w:rPr>
                <w:rFonts w:ascii="Century Gothic" w:hAnsi="Century Gothic" w:cs="Arial"/>
                <w:b/>
                <w:sz w:val="18"/>
                <w:szCs w:val="18"/>
                <w:lang w:val="es-CR"/>
              </w:rPr>
              <w:t xml:space="preserve"> </w:t>
            </w:r>
            <w:r w:rsidR="006A0EF2" w:rsidRPr="00AC6542">
              <w:rPr>
                <w:rFonts w:ascii="Century Gothic" w:hAnsi="Century Gothic" w:cs="Arial"/>
                <w:sz w:val="18"/>
                <w:szCs w:val="18"/>
                <w:lang w:val="es-CR"/>
              </w:rPr>
              <w:t>ejecutados</w:t>
            </w:r>
            <w:r w:rsidR="006A0EF2" w:rsidRPr="001A4269">
              <w:rPr>
                <w:rFonts w:ascii="Century Gothic" w:hAnsi="Century Gothic" w:cs="Arial"/>
                <w:b/>
                <w:sz w:val="18"/>
                <w:szCs w:val="18"/>
                <w:lang w:val="es-CR"/>
              </w:rPr>
              <w:t>:</w:t>
            </w:r>
            <w:r w:rsidR="006A0EF2" w:rsidRPr="001A4269">
              <w:rPr>
                <w:rFonts w:ascii="Century Gothic" w:hAnsi="Century Gothic" w:cs="Arial"/>
                <w:sz w:val="18"/>
                <w:szCs w:val="18"/>
                <w:lang w:val="es-CR"/>
              </w:rPr>
              <w:t xml:space="preserve"> ¢</w:t>
            </w:r>
            <w:r w:rsidR="006A0EF2">
              <w:rPr>
                <w:rFonts w:ascii="Century Gothic" w:hAnsi="Century Gothic" w:cs="Arial"/>
                <w:sz w:val="18"/>
                <w:szCs w:val="18"/>
                <w:lang w:val="es-CR"/>
              </w:rPr>
              <w:t>287.686</w:t>
            </w:r>
            <w:r w:rsidR="006A0EF2" w:rsidRPr="001A4269">
              <w:rPr>
                <w:rFonts w:ascii="Century Gothic" w:hAnsi="Century Gothic" w:cs="Arial"/>
                <w:sz w:val="18"/>
                <w:szCs w:val="18"/>
                <w:lang w:val="es-CR"/>
              </w:rPr>
              <w:t xml:space="preserve"> millones, </w:t>
            </w:r>
            <w:r w:rsidR="006A0EF2">
              <w:rPr>
                <w:rFonts w:ascii="Century Gothic" w:hAnsi="Century Gothic" w:cs="Arial"/>
                <w:sz w:val="18"/>
                <w:szCs w:val="18"/>
                <w:lang w:val="es-CR"/>
              </w:rPr>
              <w:t>38,6</w:t>
            </w:r>
            <w:r w:rsidR="006A0EF2" w:rsidRPr="001A4269">
              <w:rPr>
                <w:rFonts w:ascii="Century Gothic" w:hAnsi="Century Gothic" w:cs="Arial"/>
                <w:sz w:val="18"/>
                <w:szCs w:val="18"/>
                <w:lang w:val="es-CR"/>
              </w:rPr>
              <w:t xml:space="preserve">% de ejecución y </w:t>
            </w:r>
            <w:r w:rsidR="006A0EF2">
              <w:rPr>
                <w:rFonts w:ascii="Century Gothic" w:hAnsi="Century Gothic" w:cs="Arial"/>
                <w:sz w:val="18"/>
                <w:szCs w:val="18"/>
                <w:lang w:val="es-CR"/>
              </w:rPr>
              <w:t>8,9</w:t>
            </w:r>
            <w:r w:rsidR="006A0EF2" w:rsidRPr="001A4269">
              <w:rPr>
                <w:rFonts w:ascii="Century Gothic" w:hAnsi="Century Gothic" w:cs="Arial"/>
                <w:sz w:val="18"/>
                <w:szCs w:val="18"/>
                <w:lang w:val="es-CR"/>
              </w:rPr>
              <w:t>% más que el egreso ejecutado a junio de 2016.</w:t>
            </w:r>
          </w:p>
          <w:p w14:paraId="3E4CCCA8" w14:textId="2A15C38A" w:rsidR="006A0EF2" w:rsidRPr="006A0EF2" w:rsidRDefault="006A0EF2" w:rsidP="006A0EF2">
            <w:pPr>
              <w:pStyle w:val="Prrafodelista"/>
              <w:numPr>
                <w:ilvl w:val="0"/>
                <w:numId w:val="1"/>
              </w:numPr>
              <w:contextualSpacing/>
            </w:pPr>
            <w:r w:rsidRPr="005164C9">
              <w:t>El financiamiento de las universidades proviene mayoritariamente de transferencias del Gobierno Central (Fondo Especial para la Educación Superior -FEES- y otras) que en conjunto aportan para el primer semestre 2017 un 65,4%, el superávit específico y libre, 18,5%, y 9,7% respectivamente, y otras fuentes como derechos administrativos a los servicios de la educación (matrícula), un 3,0%.</w:t>
            </w:r>
          </w:p>
        </w:tc>
      </w:tr>
      <w:tr w:rsidR="00443839" w:rsidRPr="001A4269" w14:paraId="28354D52"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40F3E9" w14:textId="77777777" w:rsidR="00443839" w:rsidRPr="001A4269" w:rsidRDefault="00443839"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RECOPE</w:t>
            </w:r>
          </w:p>
        </w:tc>
        <w:tc>
          <w:tcPr>
            <w:tcW w:w="7530" w:type="dxa"/>
            <w:tcBorders>
              <w:top w:val="single" w:sz="4" w:space="0" w:color="auto"/>
              <w:left w:val="single" w:sz="4" w:space="0" w:color="auto"/>
              <w:bottom w:val="single" w:sz="4" w:space="0" w:color="auto"/>
              <w:right w:val="single" w:sz="4" w:space="0" w:color="auto"/>
            </w:tcBorders>
            <w:hideMark/>
          </w:tcPr>
          <w:p w14:paraId="35DA15AD" w14:textId="6F010321" w:rsidR="0089462C" w:rsidRPr="001A4269" w:rsidRDefault="00AC6542" w:rsidP="0089462C">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89462C" w:rsidRPr="001A4269">
              <w:rPr>
                <w:rFonts w:ascii="Century Gothic" w:hAnsi="Century Gothic" w:cs="Arial"/>
                <w:sz w:val="18"/>
                <w:szCs w:val="18"/>
                <w:lang w:val="es-CR"/>
              </w:rPr>
              <w:t>¢</w:t>
            </w:r>
            <w:r w:rsidR="0089462C">
              <w:rPr>
                <w:rFonts w:ascii="Century Gothic" w:hAnsi="Century Gothic" w:cs="Arial"/>
                <w:sz w:val="18"/>
                <w:szCs w:val="18"/>
                <w:lang w:val="es-CR"/>
              </w:rPr>
              <w:t>733.994</w:t>
            </w:r>
            <w:r w:rsidR="0089462C" w:rsidRPr="001A4269">
              <w:rPr>
                <w:rFonts w:ascii="Century Gothic" w:hAnsi="Century Gothic" w:cs="Arial"/>
                <w:sz w:val="18"/>
                <w:szCs w:val="18"/>
                <w:lang w:val="es-CR"/>
              </w:rPr>
              <w:t xml:space="preserve"> millones, </w:t>
            </w:r>
            <w:r w:rsidR="0089462C">
              <w:rPr>
                <w:rFonts w:ascii="Century Gothic" w:hAnsi="Century Gothic" w:cs="Arial"/>
                <w:sz w:val="18"/>
                <w:szCs w:val="18"/>
                <w:lang w:val="es-CR"/>
              </w:rPr>
              <w:t>56,1</w:t>
            </w:r>
            <w:r w:rsidR="0089462C" w:rsidRPr="001A4269">
              <w:rPr>
                <w:rFonts w:ascii="Century Gothic" w:hAnsi="Century Gothic" w:cs="Arial"/>
                <w:sz w:val="18"/>
                <w:szCs w:val="18"/>
                <w:lang w:val="es-CR"/>
              </w:rPr>
              <w:t xml:space="preserve">% de ejecución y </w:t>
            </w:r>
            <w:r w:rsidR="0089462C">
              <w:rPr>
                <w:rFonts w:ascii="Century Gothic" w:hAnsi="Century Gothic" w:cs="Arial"/>
                <w:sz w:val="18"/>
                <w:szCs w:val="18"/>
                <w:lang w:val="es-CR"/>
              </w:rPr>
              <w:t>23,0</w:t>
            </w:r>
            <w:r w:rsidR="0089462C" w:rsidRPr="001A4269">
              <w:rPr>
                <w:rFonts w:ascii="Century Gothic" w:hAnsi="Century Gothic" w:cs="Arial"/>
                <w:sz w:val="18"/>
                <w:szCs w:val="18"/>
                <w:lang w:val="es-CR"/>
              </w:rPr>
              <w:t xml:space="preserve">% </w:t>
            </w:r>
            <w:r w:rsidR="0089462C">
              <w:rPr>
                <w:rFonts w:ascii="Century Gothic" w:hAnsi="Century Gothic" w:cs="Arial"/>
                <w:sz w:val="18"/>
                <w:szCs w:val="18"/>
                <w:lang w:val="es-CR"/>
              </w:rPr>
              <w:t xml:space="preserve">más </w:t>
            </w:r>
            <w:r w:rsidR="0089462C" w:rsidRPr="001A4269">
              <w:rPr>
                <w:rFonts w:ascii="Century Gothic" w:hAnsi="Century Gothic" w:cs="Arial"/>
                <w:sz w:val="18"/>
                <w:szCs w:val="18"/>
                <w:lang w:val="es-CR"/>
              </w:rPr>
              <w:t>que el ingreso ejecutado a junio de 2016.</w:t>
            </w:r>
            <w:r w:rsidR="006A0EF2" w:rsidRPr="00AC6542">
              <w:rPr>
                <w:rFonts w:ascii="Century Gothic" w:hAnsi="Century Gothic" w:cs="Arial"/>
                <w:b/>
                <w:sz w:val="18"/>
                <w:szCs w:val="18"/>
                <w:lang w:val="es-CR"/>
              </w:rPr>
              <w:t xml:space="preserve"> E</w:t>
            </w:r>
            <w:r w:rsidR="006A0EF2" w:rsidRPr="001A4269">
              <w:rPr>
                <w:rFonts w:ascii="Century Gothic" w:hAnsi="Century Gothic" w:cs="Arial"/>
                <w:b/>
                <w:sz w:val="18"/>
                <w:szCs w:val="18"/>
                <w:lang w:val="es-CR"/>
              </w:rPr>
              <w:t>gresos</w:t>
            </w:r>
            <w:r w:rsidR="006A0EF2">
              <w:rPr>
                <w:rFonts w:ascii="Century Gothic" w:hAnsi="Century Gothic" w:cs="Arial"/>
                <w:b/>
                <w:sz w:val="18"/>
                <w:szCs w:val="18"/>
                <w:lang w:val="es-CR"/>
              </w:rPr>
              <w:t xml:space="preserve"> </w:t>
            </w:r>
            <w:r w:rsidR="006A0EF2" w:rsidRPr="00AC6542">
              <w:rPr>
                <w:rFonts w:ascii="Century Gothic" w:hAnsi="Century Gothic" w:cs="Arial"/>
                <w:sz w:val="18"/>
                <w:szCs w:val="18"/>
                <w:lang w:val="es-CR"/>
              </w:rPr>
              <w:t>ejecutados</w:t>
            </w:r>
            <w:r w:rsidR="006A0EF2" w:rsidRPr="001A4269">
              <w:rPr>
                <w:rFonts w:ascii="Century Gothic" w:hAnsi="Century Gothic" w:cs="Arial"/>
                <w:b/>
                <w:sz w:val="18"/>
                <w:szCs w:val="18"/>
                <w:lang w:val="es-CR"/>
              </w:rPr>
              <w:t>:</w:t>
            </w:r>
            <w:r w:rsidR="006A0EF2" w:rsidRPr="001A4269">
              <w:rPr>
                <w:rFonts w:ascii="Century Gothic" w:hAnsi="Century Gothic" w:cs="Arial"/>
                <w:sz w:val="18"/>
                <w:szCs w:val="18"/>
                <w:lang w:val="es-CR"/>
              </w:rPr>
              <w:t xml:space="preserve"> ¢</w:t>
            </w:r>
            <w:r w:rsidR="006A0EF2">
              <w:rPr>
                <w:rFonts w:ascii="Century Gothic" w:hAnsi="Century Gothic" w:cs="Arial"/>
                <w:sz w:val="18"/>
                <w:szCs w:val="18"/>
                <w:lang w:val="es-CR"/>
              </w:rPr>
              <w:t>696.874</w:t>
            </w:r>
            <w:r w:rsidR="006A0EF2" w:rsidRPr="001A4269">
              <w:rPr>
                <w:rFonts w:ascii="Century Gothic" w:hAnsi="Century Gothic" w:cs="Arial"/>
                <w:sz w:val="18"/>
                <w:szCs w:val="18"/>
                <w:lang w:val="es-CR"/>
              </w:rPr>
              <w:t xml:space="preserve"> millones, </w:t>
            </w:r>
            <w:r w:rsidR="006A0EF2">
              <w:rPr>
                <w:rFonts w:ascii="Century Gothic" w:hAnsi="Century Gothic" w:cs="Arial"/>
                <w:sz w:val="18"/>
                <w:szCs w:val="18"/>
                <w:lang w:val="es-CR"/>
              </w:rPr>
              <w:t>53,3</w:t>
            </w:r>
            <w:r w:rsidR="006A0EF2" w:rsidRPr="001A4269">
              <w:rPr>
                <w:rFonts w:ascii="Century Gothic" w:hAnsi="Century Gothic" w:cs="Arial"/>
                <w:sz w:val="18"/>
                <w:szCs w:val="18"/>
                <w:lang w:val="es-CR"/>
              </w:rPr>
              <w:t xml:space="preserve">% de ejecución y </w:t>
            </w:r>
            <w:r w:rsidR="006A0EF2">
              <w:rPr>
                <w:rFonts w:ascii="Century Gothic" w:hAnsi="Century Gothic" w:cs="Arial"/>
                <w:sz w:val="18"/>
                <w:szCs w:val="18"/>
                <w:lang w:val="es-CR"/>
              </w:rPr>
              <w:t>22,5</w:t>
            </w:r>
            <w:r w:rsidR="006A0EF2" w:rsidRPr="001A4269">
              <w:rPr>
                <w:rFonts w:ascii="Century Gothic" w:hAnsi="Century Gothic" w:cs="Arial"/>
                <w:sz w:val="18"/>
                <w:szCs w:val="18"/>
                <w:lang w:val="es-CR"/>
              </w:rPr>
              <w:t>% más que el egreso ejecutado a junio de 2016.</w:t>
            </w:r>
          </w:p>
          <w:p w14:paraId="326D5A7D" w14:textId="75AE4909" w:rsidR="006A0EF2" w:rsidRPr="001A4269" w:rsidRDefault="006A0EF2" w:rsidP="006A0EF2">
            <w:pPr>
              <w:numPr>
                <w:ilvl w:val="0"/>
                <w:numId w:val="1"/>
              </w:numPr>
              <w:jc w:val="both"/>
              <w:rPr>
                <w:rFonts w:ascii="Century Gothic" w:hAnsi="Century Gothic" w:cs="Arial"/>
                <w:sz w:val="18"/>
                <w:szCs w:val="18"/>
                <w:lang w:val="es-CR"/>
              </w:rPr>
            </w:pPr>
            <w:r w:rsidRPr="006A0EF2">
              <w:rPr>
                <w:rFonts w:ascii="Century Gothic" w:hAnsi="Century Gothic" w:cs="Arial"/>
                <w:sz w:val="18"/>
                <w:szCs w:val="18"/>
                <w:lang w:val="es-CR"/>
              </w:rPr>
              <w:t>Su programa de inversiones registra un gasto por la suma de ¢7.827 millones, que representa una ejecución del 24,4%.</w:t>
            </w:r>
            <w:r w:rsidRPr="001A4269">
              <w:rPr>
                <w:rFonts w:ascii="Century Gothic" w:hAnsi="Century Gothic" w:cs="Arial"/>
                <w:sz w:val="18"/>
                <w:szCs w:val="18"/>
                <w:lang w:val="es-CR"/>
              </w:rPr>
              <w:t xml:space="preserve"> </w:t>
            </w:r>
          </w:p>
        </w:tc>
      </w:tr>
      <w:tr w:rsidR="009F2E1D" w:rsidRPr="001A4269" w14:paraId="37417C6E"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E40973" w14:textId="77777777" w:rsidR="009F2E1D" w:rsidRPr="001A4269" w:rsidRDefault="009F2E1D"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INS</w:t>
            </w:r>
          </w:p>
        </w:tc>
        <w:tc>
          <w:tcPr>
            <w:tcW w:w="7530" w:type="dxa"/>
            <w:tcBorders>
              <w:top w:val="single" w:sz="4" w:space="0" w:color="auto"/>
              <w:left w:val="single" w:sz="4" w:space="0" w:color="auto"/>
              <w:bottom w:val="single" w:sz="4" w:space="0" w:color="auto"/>
              <w:right w:val="single" w:sz="4" w:space="0" w:color="auto"/>
            </w:tcBorders>
            <w:hideMark/>
          </w:tcPr>
          <w:p w14:paraId="6AA07CAA" w14:textId="29DB757A" w:rsidR="00B03D87" w:rsidRPr="001A7227" w:rsidRDefault="00AC6542" w:rsidP="00B03D87">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1A7227" w:rsidRPr="001A4269">
              <w:rPr>
                <w:rFonts w:ascii="Century Gothic" w:hAnsi="Century Gothic" w:cs="Arial"/>
                <w:sz w:val="18"/>
                <w:szCs w:val="18"/>
                <w:lang w:val="es-CR"/>
              </w:rPr>
              <w:t>¢</w:t>
            </w:r>
            <w:r w:rsidR="001A7227">
              <w:rPr>
                <w:rFonts w:ascii="Century Gothic" w:hAnsi="Century Gothic" w:cs="Arial"/>
                <w:sz w:val="18"/>
                <w:szCs w:val="18"/>
                <w:lang w:val="es-CR"/>
              </w:rPr>
              <w:t xml:space="preserve">1.059.739 </w:t>
            </w:r>
            <w:r w:rsidR="001A7227" w:rsidRPr="001A4269">
              <w:rPr>
                <w:rFonts w:ascii="Century Gothic" w:hAnsi="Century Gothic" w:cs="Arial"/>
                <w:sz w:val="18"/>
                <w:szCs w:val="18"/>
                <w:lang w:val="es-CR"/>
              </w:rPr>
              <w:t xml:space="preserve">millones, </w:t>
            </w:r>
            <w:r w:rsidR="001A7227">
              <w:rPr>
                <w:rFonts w:ascii="Century Gothic" w:hAnsi="Century Gothic" w:cs="Arial"/>
                <w:sz w:val="18"/>
                <w:szCs w:val="18"/>
                <w:lang w:val="es-CR"/>
              </w:rPr>
              <w:t>83,9</w:t>
            </w:r>
            <w:r w:rsidR="001A7227" w:rsidRPr="001A4269">
              <w:rPr>
                <w:rFonts w:ascii="Century Gothic" w:hAnsi="Century Gothic" w:cs="Arial"/>
                <w:sz w:val="18"/>
                <w:szCs w:val="18"/>
                <w:lang w:val="es-CR"/>
              </w:rPr>
              <w:t xml:space="preserve">% de ejecución y </w:t>
            </w:r>
            <w:r w:rsidR="001A7227">
              <w:rPr>
                <w:rFonts w:ascii="Century Gothic" w:hAnsi="Century Gothic" w:cs="Arial"/>
                <w:sz w:val="18"/>
                <w:szCs w:val="18"/>
                <w:lang w:val="es-CR"/>
              </w:rPr>
              <w:t>1,6</w:t>
            </w:r>
            <w:r w:rsidR="001A7227" w:rsidRPr="001A4269">
              <w:rPr>
                <w:rFonts w:ascii="Century Gothic" w:hAnsi="Century Gothic" w:cs="Arial"/>
                <w:sz w:val="18"/>
                <w:szCs w:val="18"/>
                <w:lang w:val="es-CR"/>
              </w:rPr>
              <w:t xml:space="preserve">% </w:t>
            </w:r>
            <w:r w:rsidR="001A7227">
              <w:rPr>
                <w:rFonts w:ascii="Century Gothic" w:hAnsi="Century Gothic" w:cs="Arial"/>
                <w:sz w:val="18"/>
                <w:szCs w:val="18"/>
                <w:lang w:val="es-CR"/>
              </w:rPr>
              <w:t xml:space="preserve">menos </w:t>
            </w:r>
            <w:r w:rsidR="001A7227" w:rsidRPr="001A4269">
              <w:rPr>
                <w:rFonts w:ascii="Century Gothic" w:hAnsi="Century Gothic" w:cs="Arial"/>
                <w:sz w:val="18"/>
                <w:szCs w:val="18"/>
                <w:lang w:val="es-CR"/>
              </w:rPr>
              <w:t>que el ingreso ejecutado a junio de 2016.</w:t>
            </w:r>
            <w:r w:rsidR="00B03D87" w:rsidRPr="00AC6542">
              <w:rPr>
                <w:rFonts w:ascii="Century Gothic" w:hAnsi="Century Gothic" w:cs="Arial"/>
                <w:b/>
                <w:sz w:val="18"/>
                <w:szCs w:val="18"/>
                <w:lang w:val="es-CR"/>
              </w:rPr>
              <w:t xml:space="preserve"> E</w:t>
            </w:r>
            <w:r w:rsidR="00B03D87" w:rsidRPr="001A4269">
              <w:rPr>
                <w:rFonts w:ascii="Century Gothic" w:hAnsi="Century Gothic" w:cs="Arial"/>
                <w:b/>
                <w:sz w:val="18"/>
                <w:szCs w:val="18"/>
                <w:lang w:val="es-CR"/>
              </w:rPr>
              <w:t>gresos</w:t>
            </w:r>
            <w:r w:rsidR="00B03D87">
              <w:rPr>
                <w:rFonts w:ascii="Century Gothic" w:hAnsi="Century Gothic" w:cs="Arial"/>
                <w:b/>
                <w:sz w:val="18"/>
                <w:szCs w:val="18"/>
                <w:lang w:val="es-CR"/>
              </w:rPr>
              <w:t xml:space="preserve"> </w:t>
            </w:r>
            <w:r w:rsidR="00B03D87" w:rsidRPr="00AC6542">
              <w:rPr>
                <w:rFonts w:ascii="Century Gothic" w:hAnsi="Century Gothic" w:cs="Arial"/>
                <w:sz w:val="18"/>
                <w:szCs w:val="18"/>
                <w:lang w:val="es-CR"/>
              </w:rPr>
              <w:t>ejecutados</w:t>
            </w:r>
            <w:r w:rsidR="00B03D87" w:rsidRPr="001A4269">
              <w:rPr>
                <w:rFonts w:ascii="Century Gothic" w:hAnsi="Century Gothic" w:cs="Arial"/>
                <w:b/>
                <w:sz w:val="18"/>
                <w:szCs w:val="18"/>
                <w:lang w:val="es-CR"/>
              </w:rPr>
              <w:t>:</w:t>
            </w:r>
            <w:r w:rsidR="00B03D87" w:rsidRPr="001A4269">
              <w:rPr>
                <w:rFonts w:ascii="Century Gothic" w:hAnsi="Century Gothic" w:cs="Arial"/>
                <w:sz w:val="18"/>
                <w:szCs w:val="18"/>
                <w:lang w:val="es-CR"/>
              </w:rPr>
              <w:t xml:space="preserve"> </w:t>
            </w:r>
            <w:r w:rsidR="00B03D87" w:rsidRPr="001A7227">
              <w:rPr>
                <w:rFonts w:ascii="Century Gothic" w:hAnsi="Century Gothic" w:cs="Arial"/>
                <w:sz w:val="18"/>
                <w:szCs w:val="18"/>
                <w:lang w:val="es-CR"/>
              </w:rPr>
              <w:t>¢</w:t>
            </w:r>
            <w:r w:rsidR="00B03D87">
              <w:rPr>
                <w:rFonts w:ascii="Century Gothic" w:hAnsi="Century Gothic" w:cs="Arial"/>
                <w:sz w:val="18"/>
                <w:szCs w:val="18"/>
                <w:lang w:val="es-CR"/>
              </w:rPr>
              <w:t>650.558</w:t>
            </w:r>
            <w:r w:rsidR="00B03D87" w:rsidRPr="001A7227">
              <w:rPr>
                <w:rFonts w:ascii="Century Gothic" w:hAnsi="Century Gothic" w:cs="Arial"/>
                <w:sz w:val="18"/>
                <w:szCs w:val="18"/>
                <w:lang w:val="es-CR"/>
              </w:rPr>
              <w:t xml:space="preserve"> millones, </w:t>
            </w:r>
            <w:r w:rsidR="00B03D87">
              <w:rPr>
                <w:rFonts w:ascii="Century Gothic" w:hAnsi="Century Gothic" w:cs="Arial"/>
                <w:sz w:val="18"/>
                <w:szCs w:val="18"/>
                <w:lang w:val="es-CR"/>
              </w:rPr>
              <w:t>51,5</w:t>
            </w:r>
            <w:r w:rsidR="00B03D87" w:rsidRPr="001A7227">
              <w:rPr>
                <w:rFonts w:ascii="Century Gothic" w:hAnsi="Century Gothic" w:cs="Arial"/>
                <w:sz w:val="18"/>
                <w:szCs w:val="18"/>
                <w:lang w:val="es-CR"/>
              </w:rPr>
              <w:t xml:space="preserve">% de ejecución y </w:t>
            </w:r>
            <w:r w:rsidR="00B03D87">
              <w:rPr>
                <w:rFonts w:ascii="Century Gothic" w:hAnsi="Century Gothic" w:cs="Arial"/>
                <w:sz w:val="18"/>
                <w:szCs w:val="18"/>
                <w:lang w:val="es-CR"/>
              </w:rPr>
              <w:t>3,9</w:t>
            </w:r>
            <w:r w:rsidR="00B03D87" w:rsidRPr="001A7227">
              <w:rPr>
                <w:rFonts w:ascii="Century Gothic" w:hAnsi="Century Gothic" w:cs="Arial"/>
                <w:sz w:val="18"/>
                <w:szCs w:val="18"/>
                <w:lang w:val="es-CR"/>
              </w:rPr>
              <w:t>% más que el egreso ejecutado a junio de 2016.</w:t>
            </w:r>
          </w:p>
          <w:p w14:paraId="58BBCA01" w14:textId="66D2189C" w:rsidR="001A7227" w:rsidRPr="001A7227" w:rsidRDefault="00B03D87" w:rsidP="00B03D87">
            <w:pPr>
              <w:numPr>
                <w:ilvl w:val="0"/>
                <w:numId w:val="1"/>
              </w:numPr>
              <w:jc w:val="both"/>
              <w:rPr>
                <w:rFonts w:cs="Arial"/>
                <w:szCs w:val="18"/>
                <w:lang w:val="es-CR"/>
              </w:rPr>
            </w:pPr>
            <w:r w:rsidRPr="00B03D87">
              <w:rPr>
                <w:rFonts w:ascii="Century Gothic" w:hAnsi="Century Gothic" w:cs="Arial"/>
                <w:sz w:val="18"/>
                <w:szCs w:val="18"/>
                <w:lang w:val="es-CR"/>
              </w:rPr>
              <w:t>La ejecución de ingresos y egresos al 30 de junio en los últimos cinco años, presenta un comportamiento similar, donde la recaudación de ingresos supera la ejecución de gastos.</w:t>
            </w:r>
          </w:p>
        </w:tc>
      </w:tr>
      <w:tr w:rsidR="00443839" w:rsidRPr="001A4269" w14:paraId="181E7451"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4F494C" w14:textId="77777777" w:rsidR="00443839" w:rsidRPr="001A4269" w:rsidRDefault="00443839"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MOPT Y CONSEJOS DE TRANSPORTE</w:t>
            </w:r>
          </w:p>
          <w:p w14:paraId="0ABBD170" w14:textId="77777777" w:rsidR="00443839" w:rsidRPr="001A4269" w:rsidRDefault="00443839" w:rsidP="00443839">
            <w:pPr>
              <w:jc w:val="center"/>
              <w:rPr>
                <w:rFonts w:ascii="Century Gothic" w:hAnsi="Century Gothic" w:cs="Arial"/>
                <w:b/>
                <w:sz w:val="18"/>
                <w:szCs w:val="18"/>
                <w:lang w:val="es-CR"/>
              </w:rPr>
            </w:pPr>
          </w:p>
        </w:tc>
        <w:tc>
          <w:tcPr>
            <w:tcW w:w="7530" w:type="dxa"/>
            <w:tcBorders>
              <w:top w:val="single" w:sz="4" w:space="0" w:color="auto"/>
              <w:left w:val="single" w:sz="4" w:space="0" w:color="auto"/>
              <w:bottom w:val="single" w:sz="4" w:space="0" w:color="auto"/>
              <w:right w:val="single" w:sz="4" w:space="0" w:color="auto"/>
            </w:tcBorders>
            <w:hideMark/>
          </w:tcPr>
          <w:p w14:paraId="625E6D95" w14:textId="77777777" w:rsidR="001302D4" w:rsidRDefault="001302D4" w:rsidP="004F732F">
            <w:pPr>
              <w:numPr>
                <w:ilvl w:val="0"/>
                <w:numId w:val="2"/>
              </w:numPr>
              <w:jc w:val="both"/>
              <w:rPr>
                <w:rFonts w:ascii="Century Gothic" w:hAnsi="Century Gothic" w:cs="Arial"/>
                <w:sz w:val="18"/>
                <w:szCs w:val="18"/>
                <w:lang w:val="es-CR"/>
              </w:rPr>
            </w:pPr>
            <w:r w:rsidRPr="001302D4">
              <w:rPr>
                <w:rFonts w:ascii="Century Gothic" w:hAnsi="Century Gothic" w:cs="Arial"/>
                <w:sz w:val="18"/>
                <w:szCs w:val="18"/>
                <w:lang w:val="es-CR"/>
              </w:rPr>
              <w:t xml:space="preserve">Al término del primer semestre de 2017, el MOPT </w:t>
            </w:r>
            <w:r>
              <w:rPr>
                <w:rFonts w:ascii="Century Gothic" w:hAnsi="Century Gothic" w:cs="Arial"/>
                <w:sz w:val="18"/>
                <w:szCs w:val="18"/>
                <w:lang w:val="es-CR"/>
              </w:rPr>
              <w:t xml:space="preserve">y sus Consejos </w:t>
            </w:r>
            <w:r w:rsidRPr="001302D4">
              <w:rPr>
                <w:rFonts w:ascii="Century Gothic" w:hAnsi="Century Gothic" w:cs="Arial"/>
                <w:sz w:val="18"/>
                <w:szCs w:val="18"/>
                <w:lang w:val="es-CR"/>
              </w:rPr>
              <w:t>cuentan con un presupuesto ajustado de ¢1.047.666 millones, concentrado principalmente en el CONAVI y el MOPT.</w:t>
            </w:r>
          </w:p>
          <w:p w14:paraId="5B9EDA4C" w14:textId="7EFC1645" w:rsidR="001A7227" w:rsidRDefault="00AC6542" w:rsidP="004F732F">
            <w:pPr>
              <w:numPr>
                <w:ilvl w:val="0"/>
                <w:numId w:val="2"/>
              </w:numPr>
              <w:jc w:val="both"/>
              <w:rPr>
                <w:rFonts w:ascii="Century Gothic" w:hAnsi="Century Gothic" w:cs="Arial"/>
                <w:sz w:val="18"/>
                <w:szCs w:val="18"/>
                <w:lang w:val="es-CR"/>
              </w:rPr>
            </w:pPr>
            <w:r w:rsidRPr="004F732F">
              <w:rPr>
                <w:rFonts w:ascii="Century Gothic" w:hAnsi="Century Gothic" w:cs="Arial"/>
                <w:b/>
                <w:sz w:val="18"/>
                <w:szCs w:val="18"/>
                <w:lang w:val="es-CR"/>
              </w:rPr>
              <w:t xml:space="preserve">Ingresos ejecutados </w:t>
            </w:r>
            <w:r w:rsidR="001A7227" w:rsidRPr="004F732F">
              <w:rPr>
                <w:rFonts w:ascii="Century Gothic" w:hAnsi="Century Gothic" w:cs="Arial"/>
                <w:b/>
                <w:sz w:val="18"/>
                <w:szCs w:val="18"/>
                <w:lang w:val="es-CR"/>
              </w:rPr>
              <w:t>de los consejos:</w:t>
            </w:r>
            <w:r w:rsidR="001A7227" w:rsidRPr="004F732F">
              <w:rPr>
                <w:rFonts w:ascii="Century Gothic" w:hAnsi="Century Gothic" w:cs="Arial"/>
                <w:sz w:val="18"/>
                <w:szCs w:val="18"/>
                <w:lang w:val="es-CR"/>
              </w:rPr>
              <w:t xml:space="preserve"> ¢333.021 millones, 57,7% de ejecución y 9,4% más que el ingreso ejecutado a junio de 2016.</w:t>
            </w:r>
            <w:r w:rsidR="004F732F" w:rsidRPr="004F732F">
              <w:rPr>
                <w:rFonts w:ascii="Century Gothic" w:hAnsi="Century Gothic" w:cs="Arial"/>
                <w:b/>
                <w:sz w:val="18"/>
                <w:szCs w:val="18"/>
                <w:lang w:val="es-CR"/>
              </w:rPr>
              <w:t xml:space="preserve"> Egresos ejecutados de los consejos:</w:t>
            </w:r>
            <w:r w:rsidR="004F732F" w:rsidRPr="004F732F">
              <w:rPr>
                <w:rFonts w:ascii="Century Gothic" w:hAnsi="Century Gothic" w:cs="Arial"/>
                <w:sz w:val="18"/>
                <w:szCs w:val="18"/>
                <w:lang w:val="es-CR"/>
              </w:rPr>
              <w:t xml:space="preserve"> ¢109.187 millones, 18,9% de ejecución y 14,9% menos que el egreso ejecutado a junio de 2016.</w:t>
            </w:r>
          </w:p>
          <w:p w14:paraId="1D09B2D6" w14:textId="7A530353" w:rsidR="00443839" w:rsidRPr="001302D4" w:rsidRDefault="004F732F" w:rsidP="004F732F">
            <w:pPr>
              <w:pStyle w:val="Prrafodelista"/>
              <w:numPr>
                <w:ilvl w:val="0"/>
                <w:numId w:val="2"/>
              </w:numPr>
              <w:contextualSpacing/>
              <w:rPr>
                <w:rFonts w:cs="Arial"/>
                <w:szCs w:val="18"/>
                <w:lang w:val="es-CR"/>
              </w:rPr>
            </w:pPr>
            <w:r w:rsidRPr="005164C9">
              <w:t xml:space="preserve">Del total de egresos efectivos de los Consejos del MOPT al 30 de junio de 2017, el 76,0% (¢82.952 millones) corresponde al CONAVI y el 15,3% (¢16.688 millones) al CTAC. El CONAVI es el Consejo del MOPT con mayor cantidad de recursos asignados al 30 de junio de 2017, </w:t>
            </w:r>
            <w:r>
              <w:rPr>
                <w:rFonts w:cs="Arial"/>
                <w:szCs w:val="18"/>
                <w:lang w:val="es-CR"/>
              </w:rPr>
              <w:t xml:space="preserve">y sus </w:t>
            </w:r>
            <w:r w:rsidRPr="001302D4">
              <w:rPr>
                <w:rFonts w:cs="Arial"/>
                <w:szCs w:val="18"/>
                <w:lang w:val="es-CR"/>
              </w:rPr>
              <w:t>gastos efectivos disminuyeron en 21,4% con respecto al 2016</w:t>
            </w:r>
            <w:r>
              <w:rPr>
                <w:rFonts w:cs="Arial"/>
                <w:szCs w:val="18"/>
                <w:lang w:val="es-CR"/>
              </w:rPr>
              <w:t>.</w:t>
            </w:r>
            <w:r w:rsidR="001302D4" w:rsidRPr="001302D4">
              <w:rPr>
                <w:rFonts w:cs="Arial"/>
                <w:szCs w:val="18"/>
                <w:lang w:val="es-CR"/>
              </w:rPr>
              <w:t xml:space="preserve"> </w:t>
            </w:r>
          </w:p>
        </w:tc>
      </w:tr>
      <w:tr w:rsidR="00443839" w:rsidRPr="001A4269" w14:paraId="3CEB83C5"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10038" w14:textId="77777777" w:rsidR="00443839" w:rsidRPr="001A4269" w:rsidRDefault="00443839"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CNFL</w:t>
            </w:r>
          </w:p>
        </w:tc>
        <w:tc>
          <w:tcPr>
            <w:tcW w:w="7530" w:type="dxa"/>
            <w:tcBorders>
              <w:top w:val="single" w:sz="4" w:space="0" w:color="auto"/>
              <w:left w:val="single" w:sz="4" w:space="0" w:color="auto"/>
              <w:bottom w:val="single" w:sz="4" w:space="0" w:color="auto"/>
              <w:right w:val="single" w:sz="4" w:space="0" w:color="auto"/>
            </w:tcBorders>
          </w:tcPr>
          <w:p w14:paraId="1B525869" w14:textId="354E70C0" w:rsidR="001302D4" w:rsidRPr="001A4269" w:rsidRDefault="00AC6542" w:rsidP="001302D4">
            <w:pPr>
              <w:numPr>
                <w:ilvl w:val="0"/>
                <w:numId w:val="2"/>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1302D4" w:rsidRPr="001A4269">
              <w:rPr>
                <w:rFonts w:ascii="Century Gothic" w:hAnsi="Century Gothic" w:cs="Arial"/>
                <w:sz w:val="18"/>
                <w:szCs w:val="18"/>
                <w:lang w:val="es-CR"/>
              </w:rPr>
              <w:t>¢</w:t>
            </w:r>
            <w:r w:rsidR="001302D4">
              <w:rPr>
                <w:rFonts w:ascii="Century Gothic" w:hAnsi="Century Gothic" w:cs="Arial"/>
                <w:sz w:val="18"/>
                <w:szCs w:val="18"/>
                <w:lang w:val="es-CR"/>
              </w:rPr>
              <w:t>187.139</w:t>
            </w:r>
            <w:r w:rsidR="001302D4" w:rsidRPr="001A4269">
              <w:rPr>
                <w:rFonts w:ascii="Century Gothic" w:hAnsi="Century Gothic" w:cs="Arial"/>
                <w:sz w:val="18"/>
                <w:szCs w:val="18"/>
                <w:lang w:val="es-CR"/>
              </w:rPr>
              <w:t xml:space="preserve"> millones, </w:t>
            </w:r>
            <w:r w:rsidR="001302D4">
              <w:rPr>
                <w:rFonts w:ascii="Century Gothic" w:hAnsi="Century Gothic" w:cs="Arial"/>
                <w:sz w:val="18"/>
                <w:szCs w:val="18"/>
                <w:lang w:val="es-CR"/>
              </w:rPr>
              <w:t>51,9</w:t>
            </w:r>
            <w:r w:rsidR="001302D4" w:rsidRPr="001A4269">
              <w:rPr>
                <w:rFonts w:ascii="Century Gothic" w:hAnsi="Century Gothic" w:cs="Arial"/>
                <w:sz w:val="18"/>
                <w:szCs w:val="18"/>
                <w:lang w:val="es-CR"/>
              </w:rPr>
              <w:t xml:space="preserve">% de ejecución y </w:t>
            </w:r>
            <w:r w:rsidR="001302D4">
              <w:rPr>
                <w:rFonts w:ascii="Century Gothic" w:hAnsi="Century Gothic" w:cs="Arial"/>
                <w:sz w:val="18"/>
                <w:szCs w:val="18"/>
                <w:lang w:val="es-CR"/>
              </w:rPr>
              <w:t>5,8</w:t>
            </w:r>
            <w:r w:rsidR="001302D4" w:rsidRPr="001A4269">
              <w:rPr>
                <w:rFonts w:ascii="Century Gothic" w:hAnsi="Century Gothic" w:cs="Arial"/>
                <w:sz w:val="18"/>
                <w:szCs w:val="18"/>
                <w:lang w:val="es-CR"/>
              </w:rPr>
              <w:t xml:space="preserve">% </w:t>
            </w:r>
            <w:r w:rsidR="001302D4">
              <w:rPr>
                <w:rFonts w:ascii="Century Gothic" w:hAnsi="Century Gothic" w:cs="Arial"/>
                <w:sz w:val="18"/>
                <w:szCs w:val="18"/>
                <w:lang w:val="es-CR"/>
              </w:rPr>
              <w:t xml:space="preserve">más </w:t>
            </w:r>
            <w:r w:rsidR="001302D4" w:rsidRPr="001A4269">
              <w:rPr>
                <w:rFonts w:ascii="Century Gothic" w:hAnsi="Century Gothic" w:cs="Arial"/>
                <w:sz w:val="18"/>
                <w:szCs w:val="18"/>
                <w:lang w:val="es-CR"/>
              </w:rPr>
              <w:t>que el ingreso ejecutado a junio de 2016.</w:t>
            </w:r>
            <w:r w:rsidR="004F732F" w:rsidRPr="00AC6542">
              <w:rPr>
                <w:rFonts w:ascii="Century Gothic" w:hAnsi="Century Gothic" w:cs="Arial"/>
                <w:b/>
                <w:sz w:val="18"/>
                <w:szCs w:val="18"/>
                <w:lang w:val="es-CR"/>
              </w:rPr>
              <w:t xml:space="preserve"> E</w:t>
            </w:r>
            <w:r w:rsidR="004F732F" w:rsidRPr="001A4269">
              <w:rPr>
                <w:rFonts w:ascii="Century Gothic" w:hAnsi="Century Gothic" w:cs="Arial"/>
                <w:b/>
                <w:sz w:val="18"/>
                <w:szCs w:val="18"/>
                <w:lang w:val="es-CR"/>
              </w:rPr>
              <w:t>gresos</w:t>
            </w:r>
            <w:r w:rsidR="004F732F">
              <w:rPr>
                <w:rFonts w:ascii="Century Gothic" w:hAnsi="Century Gothic" w:cs="Arial"/>
                <w:b/>
                <w:sz w:val="18"/>
                <w:szCs w:val="18"/>
                <w:lang w:val="es-CR"/>
              </w:rPr>
              <w:t xml:space="preserve"> </w:t>
            </w:r>
            <w:r w:rsidR="004F732F" w:rsidRPr="00AC6542">
              <w:rPr>
                <w:rFonts w:ascii="Century Gothic" w:hAnsi="Century Gothic" w:cs="Arial"/>
                <w:sz w:val="18"/>
                <w:szCs w:val="18"/>
                <w:lang w:val="es-CR"/>
              </w:rPr>
              <w:t>ejecutados</w:t>
            </w:r>
            <w:r w:rsidR="004F732F" w:rsidRPr="001A4269">
              <w:rPr>
                <w:rFonts w:ascii="Century Gothic" w:hAnsi="Century Gothic" w:cs="Arial"/>
                <w:b/>
                <w:sz w:val="18"/>
                <w:szCs w:val="18"/>
                <w:lang w:val="es-CR"/>
              </w:rPr>
              <w:t>:</w:t>
            </w:r>
            <w:r w:rsidR="004F732F" w:rsidRPr="001A4269">
              <w:rPr>
                <w:rFonts w:ascii="Century Gothic" w:hAnsi="Century Gothic" w:cs="Arial"/>
                <w:sz w:val="18"/>
                <w:szCs w:val="18"/>
                <w:lang w:val="es-CR"/>
              </w:rPr>
              <w:t xml:space="preserve"> ¢</w:t>
            </w:r>
            <w:r w:rsidR="004F732F">
              <w:rPr>
                <w:rFonts w:ascii="Century Gothic" w:hAnsi="Century Gothic" w:cs="Arial"/>
                <w:sz w:val="18"/>
                <w:szCs w:val="18"/>
                <w:lang w:val="es-CR"/>
              </w:rPr>
              <w:t>154.880</w:t>
            </w:r>
            <w:r w:rsidR="004F732F" w:rsidRPr="001A4269">
              <w:rPr>
                <w:rFonts w:ascii="Century Gothic" w:hAnsi="Century Gothic" w:cs="Arial"/>
                <w:sz w:val="18"/>
                <w:szCs w:val="18"/>
                <w:lang w:val="es-CR"/>
              </w:rPr>
              <w:t xml:space="preserve"> millones, </w:t>
            </w:r>
            <w:r w:rsidR="004F732F">
              <w:rPr>
                <w:rFonts w:ascii="Century Gothic" w:hAnsi="Century Gothic" w:cs="Arial"/>
                <w:sz w:val="18"/>
                <w:szCs w:val="18"/>
                <w:lang w:val="es-CR"/>
              </w:rPr>
              <w:t>42,9</w:t>
            </w:r>
            <w:r w:rsidR="004F732F" w:rsidRPr="001A4269">
              <w:rPr>
                <w:rFonts w:ascii="Century Gothic" w:hAnsi="Century Gothic" w:cs="Arial"/>
                <w:sz w:val="18"/>
                <w:szCs w:val="18"/>
                <w:lang w:val="es-CR"/>
              </w:rPr>
              <w:t xml:space="preserve">% de ejecución y </w:t>
            </w:r>
            <w:r w:rsidR="004F732F">
              <w:rPr>
                <w:rFonts w:ascii="Century Gothic" w:hAnsi="Century Gothic" w:cs="Arial"/>
                <w:sz w:val="18"/>
                <w:szCs w:val="18"/>
                <w:lang w:val="es-CR"/>
              </w:rPr>
              <w:t>11,7</w:t>
            </w:r>
            <w:r w:rsidR="004F732F" w:rsidRPr="001A4269">
              <w:rPr>
                <w:rFonts w:ascii="Century Gothic" w:hAnsi="Century Gothic" w:cs="Arial"/>
                <w:sz w:val="18"/>
                <w:szCs w:val="18"/>
                <w:lang w:val="es-CR"/>
              </w:rPr>
              <w:t xml:space="preserve">% </w:t>
            </w:r>
            <w:r w:rsidR="004F732F">
              <w:rPr>
                <w:rFonts w:ascii="Century Gothic" w:hAnsi="Century Gothic" w:cs="Arial"/>
                <w:sz w:val="18"/>
                <w:szCs w:val="18"/>
                <w:lang w:val="es-CR"/>
              </w:rPr>
              <w:t>menos</w:t>
            </w:r>
            <w:r w:rsidR="004F732F" w:rsidRPr="001A4269">
              <w:rPr>
                <w:rFonts w:ascii="Century Gothic" w:hAnsi="Century Gothic" w:cs="Arial"/>
                <w:sz w:val="18"/>
                <w:szCs w:val="18"/>
                <w:lang w:val="es-CR"/>
              </w:rPr>
              <w:t xml:space="preserve"> que el egreso ejecutado a junio de 2016.</w:t>
            </w:r>
          </w:p>
          <w:p w14:paraId="166FD17D" w14:textId="38B78DD0" w:rsidR="00443839" w:rsidRPr="004F732F" w:rsidRDefault="004F732F" w:rsidP="004F732F">
            <w:pPr>
              <w:numPr>
                <w:ilvl w:val="0"/>
                <w:numId w:val="2"/>
              </w:numPr>
              <w:jc w:val="both"/>
              <w:rPr>
                <w:rFonts w:ascii="Century Gothic" w:hAnsi="Century Gothic" w:cs="Arial"/>
                <w:sz w:val="18"/>
                <w:szCs w:val="18"/>
                <w:lang w:val="es-CR"/>
              </w:rPr>
            </w:pPr>
            <w:r w:rsidRPr="004F732F">
              <w:rPr>
                <w:rFonts w:ascii="Century Gothic" w:hAnsi="Century Gothic" w:cs="Arial"/>
                <w:sz w:val="18"/>
                <w:szCs w:val="18"/>
                <w:lang w:val="es-CR"/>
              </w:rPr>
              <w:t xml:space="preserve">El programa de operación alcanzó una ejecución del 45,7% en el primer semestre mientras que el programa de inversión logró una ejecución de tan </w:t>
            </w:r>
            <w:r w:rsidRPr="004F732F">
              <w:rPr>
                <w:rFonts w:ascii="Century Gothic" w:hAnsi="Century Gothic" w:cs="Arial"/>
                <w:sz w:val="18"/>
                <w:szCs w:val="18"/>
                <w:lang w:val="es-CR"/>
              </w:rPr>
              <w:lastRenderedPageBreak/>
              <w:t>solo 12,2%.</w:t>
            </w:r>
          </w:p>
          <w:p w14:paraId="5AC46F37" w14:textId="77777777" w:rsidR="001302D4" w:rsidRPr="001302D4" w:rsidRDefault="001302D4" w:rsidP="001302D4">
            <w:pPr>
              <w:pStyle w:val="Prrafodelista"/>
              <w:numPr>
                <w:ilvl w:val="0"/>
                <w:numId w:val="2"/>
              </w:numPr>
              <w:rPr>
                <w:rFonts w:cs="Arial"/>
                <w:szCs w:val="18"/>
                <w:lang w:val="es-CR"/>
              </w:rPr>
            </w:pPr>
            <w:r w:rsidRPr="001302D4">
              <w:rPr>
                <w:rFonts w:cs="Arial"/>
                <w:szCs w:val="18"/>
                <w:lang w:val="es-CR"/>
              </w:rPr>
              <w:t>El indicador de rendimiento sobre la inversión se mantiene negativo (-1,47%) debido a los resultados desfavorables en la utilidad neta acumulada al primer semestre del 2017 por -¢14.027 millones.</w:t>
            </w:r>
          </w:p>
        </w:tc>
      </w:tr>
      <w:tr w:rsidR="00443839" w:rsidRPr="001A4269" w14:paraId="2D9AAE07" w14:textId="77777777" w:rsidTr="008C6D49">
        <w:trPr>
          <w:trHeight w:val="1309"/>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2B00E6" w14:textId="77777777" w:rsidR="00443839" w:rsidRPr="001A4269" w:rsidRDefault="00443839"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lastRenderedPageBreak/>
              <w:t>IMAS</w:t>
            </w:r>
          </w:p>
        </w:tc>
        <w:tc>
          <w:tcPr>
            <w:tcW w:w="7530" w:type="dxa"/>
            <w:tcBorders>
              <w:top w:val="single" w:sz="4" w:space="0" w:color="auto"/>
              <w:left w:val="single" w:sz="4" w:space="0" w:color="auto"/>
              <w:bottom w:val="single" w:sz="4" w:space="0" w:color="auto"/>
              <w:right w:val="single" w:sz="4" w:space="0" w:color="auto"/>
            </w:tcBorders>
            <w:hideMark/>
          </w:tcPr>
          <w:p w14:paraId="5BF70B8F" w14:textId="2F835434" w:rsidR="001C4228" w:rsidRPr="001A4269" w:rsidRDefault="00AC6542" w:rsidP="00A04FF3">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C12474" w:rsidRPr="001A4269">
              <w:rPr>
                <w:rFonts w:ascii="Century Gothic" w:hAnsi="Century Gothic" w:cs="Arial"/>
                <w:sz w:val="18"/>
                <w:szCs w:val="18"/>
                <w:lang w:val="es-CR"/>
              </w:rPr>
              <w:t>¢</w:t>
            </w:r>
            <w:r w:rsidR="00C12474">
              <w:rPr>
                <w:rFonts w:ascii="Century Gothic" w:hAnsi="Century Gothic" w:cs="Arial"/>
                <w:sz w:val="18"/>
                <w:szCs w:val="18"/>
                <w:lang w:val="es-CR"/>
              </w:rPr>
              <w:t>108.012</w:t>
            </w:r>
            <w:r w:rsidR="00C12474" w:rsidRPr="001A4269">
              <w:rPr>
                <w:rFonts w:ascii="Century Gothic" w:hAnsi="Century Gothic" w:cs="Arial"/>
                <w:sz w:val="18"/>
                <w:szCs w:val="18"/>
                <w:lang w:val="es-CR"/>
              </w:rPr>
              <w:t xml:space="preserve"> millones, </w:t>
            </w:r>
            <w:r w:rsidR="00C12474">
              <w:rPr>
                <w:rFonts w:ascii="Century Gothic" w:hAnsi="Century Gothic" w:cs="Arial"/>
                <w:sz w:val="18"/>
                <w:szCs w:val="18"/>
                <w:lang w:val="es-CR"/>
              </w:rPr>
              <w:t>50,0</w:t>
            </w:r>
            <w:r w:rsidR="00C12474" w:rsidRPr="001A4269">
              <w:rPr>
                <w:rFonts w:ascii="Century Gothic" w:hAnsi="Century Gothic" w:cs="Arial"/>
                <w:sz w:val="18"/>
                <w:szCs w:val="18"/>
                <w:lang w:val="es-CR"/>
              </w:rPr>
              <w:t xml:space="preserve">% de ejecución y </w:t>
            </w:r>
            <w:r w:rsidR="00C12474">
              <w:rPr>
                <w:rFonts w:ascii="Century Gothic" w:hAnsi="Century Gothic" w:cs="Arial"/>
                <w:sz w:val="18"/>
                <w:szCs w:val="18"/>
                <w:lang w:val="es-CR"/>
              </w:rPr>
              <w:t>13,2</w:t>
            </w:r>
            <w:r w:rsidR="00C12474" w:rsidRPr="001A4269">
              <w:rPr>
                <w:rFonts w:ascii="Century Gothic" w:hAnsi="Century Gothic" w:cs="Arial"/>
                <w:sz w:val="18"/>
                <w:szCs w:val="18"/>
                <w:lang w:val="es-CR"/>
              </w:rPr>
              <w:t xml:space="preserve">% </w:t>
            </w:r>
            <w:r w:rsidR="00C12474">
              <w:rPr>
                <w:rFonts w:ascii="Century Gothic" w:hAnsi="Century Gothic" w:cs="Arial"/>
                <w:sz w:val="18"/>
                <w:szCs w:val="18"/>
                <w:lang w:val="es-CR"/>
              </w:rPr>
              <w:t xml:space="preserve">más </w:t>
            </w:r>
            <w:r w:rsidR="00C12474" w:rsidRPr="001A4269">
              <w:rPr>
                <w:rFonts w:ascii="Century Gothic" w:hAnsi="Century Gothic" w:cs="Arial"/>
                <w:sz w:val="18"/>
                <w:szCs w:val="18"/>
                <w:lang w:val="es-CR"/>
              </w:rPr>
              <w:t>que el ingreso ejecutado a junio de 2016.</w:t>
            </w:r>
            <w:r w:rsidR="001C4228" w:rsidRPr="00AC6542">
              <w:rPr>
                <w:rFonts w:ascii="Century Gothic" w:hAnsi="Century Gothic" w:cs="Arial"/>
                <w:b/>
                <w:sz w:val="18"/>
                <w:szCs w:val="18"/>
                <w:lang w:val="es-CR"/>
              </w:rPr>
              <w:t xml:space="preserve"> E</w:t>
            </w:r>
            <w:r w:rsidR="001C4228" w:rsidRPr="001A4269">
              <w:rPr>
                <w:rFonts w:ascii="Century Gothic" w:hAnsi="Century Gothic" w:cs="Arial"/>
                <w:b/>
                <w:sz w:val="18"/>
                <w:szCs w:val="18"/>
                <w:lang w:val="es-CR"/>
              </w:rPr>
              <w:t>gresos</w:t>
            </w:r>
            <w:r w:rsidR="001C4228">
              <w:rPr>
                <w:rFonts w:ascii="Century Gothic" w:hAnsi="Century Gothic" w:cs="Arial"/>
                <w:b/>
                <w:sz w:val="18"/>
                <w:szCs w:val="18"/>
                <w:lang w:val="es-CR"/>
              </w:rPr>
              <w:t xml:space="preserve"> </w:t>
            </w:r>
            <w:r w:rsidR="001C4228" w:rsidRPr="00AC6542">
              <w:rPr>
                <w:rFonts w:ascii="Century Gothic" w:hAnsi="Century Gothic" w:cs="Arial"/>
                <w:sz w:val="18"/>
                <w:szCs w:val="18"/>
                <w:lang w:val="es-CR"/>
              </w:rPr>
              <w:t>ejecutados</w:t>
            </w:r>
            <w:r w:rsidR="001C4228" w:rsidRPr="001A4269">
              <w:rPr>
                <w:rFonts w:ascii="Century Gothic" w:hAnsi="Century Gothic" w:cs="Arial"/>
                <w:b/>
                <w:sz w:val="18"/>
                <w:szCs w:val="18"/>
                <w:lang w:val="es-CR"/>
              </w:rPr>
              <w:t>:</w:t>
            </w:r>
            <w:r w:rsidR="001C4228" w:rsidRPr="001A4269">
              <w:rPr>
                <w:rFonts w:ascii="Century Gothic" w:hAnsi="Century Gothic" w:cs="Arial"/>
                <w:sz w:val="18"/>
                <w:szCs w:val="18"/>
                <w:lang w:val="es-CR"/>
              </w:rPr>
              <w:t xml:space="preserve"> ¢</w:t>
            </w:r>
            <w:r w:rsidR="001C4228">
              <w:rPr>
                <w:rFonts w:ascii="Century Gothic" w:hAnsi="Century Gothic" w:cs="Arial"/>
                <w:sz w:val="18"/>
                <w:szCs w:val="18"/>
                <w:lang w:val="es-CR"/>
              </w:rPr>
              <w:t>84.334</w:t>
            </w:r>
            <w:r w:rsidR="001C4228" w:rsidRPr="001A4269">
              <w:rPr>
                <w:rFonts w:ascii="Century Gothic" w:hAnsi="Century Gothic" w:cs="Arial"/>
                <w:sz w:val="18"/>
                <w:szCs w:val="18"/>
                <w:lang w:val="es-CR"/>
              </w:rPr>
              <w:t xml:space="preserve"> millones, </w:t>
            </w:r>
            <w:r w:rsidR="001C4228">
              <w:rPr>
                <w:rFonts w:ascii="Century Gothic" w:hAnsi="Century Gothic" w:cs="Arial"/>
                <w:sz w:val="18"/>
                <w:szCs w:val="18"/>
                <w:lang w:val="es-CR"/>
              </w:rPr>
              <w:t>39,0</w:t>
            </w:r>
            <w:r w:rsidR="001C4228" w:rsidRPr="001A4269">
              <w:rPr>
                <w:rFonts w:ascii="Century Gothic" w:hAnsi="Century Gothic" w:cs="Arial"/>
                <w:sz w:val="18"/>
                <w:szCs w:val="18"/>
                <w:lang w:val="es-CR"/>
              </w:rPr>
              <w:t xml:space="preserve">% de ejecución y </w:t>
            </w:r>
            <w:r w:rsidR="001C4228">
              <w:rPr>
                <w:rFonts w:ascii="Century Gothic" w:hAnsi="Century Gothic" w:cs="Arial"/>
                <w:sz w:val="18"/>
                <w:szCs w:val="18"/>
                <w:lang w:val="es-CR"/>
              </w:rPr>
              <w:t>16,0</w:t>
            </w:r>
            <w:r w:rsidR="001C4228" w:rsidRPr="001A4269">
              <w:rPr>
                <w:rFonts w:ascii="Century Gothic" w:hAnsi="Century Gothic" w:cs="Arial"/>
                <w:sz w:val="18"/>
                <w:szCs w:val="18"/>
                <w:lang w:val="es-CR"/>
              </w:rPr>
              <w:t>% más que el egreso ejecutado a junio de 2016.</w:t>
            </w:r>
          </w:p>
          <w:p w14:paraId="1F94B53A" w14:textId="77777777" w:rsidR="00C12474" w:rsidRPr="001A4269" w:rsidRDefault="00C12474" w:rsidP="00A04FF3">
            <w:pPr>
              <w:numPr>
                <w:ilvl w:val="0"/>
                <w:numId w:val="1"/>
              </w:numPr>
              <w:jc w:val="both"/>
              <w:rPr>
                <w:rFonts w:ascii="Century Gothic" w:hAnsi="Century Gothic" w:cs="Arial"/>
                <w:sz w:val="18"/>
                <w:szCs w:val="18"/>
                <w:lang w:val="es-CR"/>
              </w:rPr>
            </w:pPr>
            <w:r w:rsidRPr="001A4269">
              <w:rPr>
                <w:rFonts w:ascii="Century Gothic" w:hAnsi="Century Gothic" w:cs="Arial"/>
                <w:sz w:val="18"/>
                <w:szCs w:val="18"/>
                <w:lang w:val="es-CR"/>
              </w:rPr>
              <w:t xml:space="preserve">Los </w:t>
            </w:r>
            <w:r w:rsidRPr="001A4269">
              <w:rPr>
                <w:rFonts w:ascii="Century Gothic" w:hAnsi="Century Gothic" w:cs="Arial"/>
                <w:b/>
                <w:sz w:val="18"/>
                <w:szCs w:val="18"/>
                <w:lang w:val="es-CR"/>
              </w:rPr>
              <w:t>ingresos están compuestos</w:t>
            </w:r>
            <w:r w:rsidRPr="001A4269">
              <w:rPr>
                <w:rFonts w:ascii="Century Gothic" w:hAnsi="Century Gothic" w:cs="Arial"/>
                <w:sz w:val="18"/>
                <w:szCs w:val="18"/>
                <w:lang w:val="es-CR"/>
              </w:rPr>
              <w:t xml:space="preserve"> principalmente por </w:t>
            </w:r>
            <w:r>
              <w:rPr>
                <w:rFonts w:ascii="Century Gothic" w:hAnsi="Century Gothic" w:cs="Arial"/>
                <w:sz w:val="18"/>
                <w:szCs w:val="18"/>
                <w:lang w:val="es-CR"/>
              </w:rPr>
              <w:t>ingresos corrientes</w:t>
            </w:r>
            <w:r w:rsidRPr="001A4269">
              <w:rPr>
                <w:rFonts w:ascii="Century Gothic" w:hAnsi="Century Gothic" w:cs="Arial"/>
                <w:sz w:val="18"/>
                <w:szCs w:val="18"/>
                <w:lang w:val="es-CR"/>
              </w:rPr>
              <w:t xml:space="preserve"> (</w:t>
            </w:r>
            <w:r>
              <w:rPr>
                <w:rFonts w:ascii="Century Gothic" w:hAnsi="Century Gothic" w:cs="Arial"/>
                <w:sz w:val="18"/>
                <w:szCs w:val="18"/>
                <w:lang w:val="es-CR"/>
              </w:rPr>
              <w:t xml:space="preserve">89,5%) </w:t>
            </w:r>
            <w:r w:rsidRPr="001A4269">
              <w:rPr>
                <w:rFonts w:ascii="Century Gothic" w:hAnsi="Century Gothic" w:cs="Arial"/>
                <w:sz w:val="18"/>
                <w:szCs w:val="18"/>
                <w:lang w:val="es-CR"/>
              </w:rPr>
              <w:t xml:space="preserve">y </w:t>
            </w:r>
            <w:r>
              <w:rPr>
                <w:rFonts w:ascii="Century Gothic" w:hAnsi="Century Gothic" w:cs="Arial"/>
                <w:sz w:val="18"/>
                <w:szCs w:val="18"/>
                <w:lang w:val="es-CR"/>
              </w:rPr>
              <w:t>financiamiento (10,5</w:t>
            </w:r>
            <w:r w:rsidRPr="001A4269">
              <w:rPr>
                <w:rFonts w:ascii="Century Gothic" w:hAnsi="Century Gothic" w:cs="Arial"/>
                <w:sz w:val="18"/>
                <w:szCs w:val="18"/>
                <w:lang w:val="es-CR"/>
              </w:rPr>
              <w:t>%).</w:t>
            </w:r>
          </w:p>
          <w:p w14:paraId="56B30A30" w14:textId="3E2FEADC" w:rsidR="00C12474" w:rsidRPr="00C12474" w:rsidRDefault="00A04FF3" w:rsidP="00A04FF3">
            <w:pPr>
              <w:pStyle w:val="Prrafodelista"/>
              <w:numPr>
                <w:ilvl w:val="0"/>
                <w:numId w:val="1"/>
              </w:numPr>
              <w:contextualSpacing/>
              <w:rPr>
                <w:rFonts w:cs="Arial"/>
                <w:szCs w:val="18"/>
                <w:lang w:val="es-CR"/>
              </w:rPr>
            </w:pPr>
            <w:r w:rsidRPr="005164C9">
              <w:t xml:space="preserve">Se observa una baja ejecución del programa SINIRUBE.  </w:t>
            </w:r>
          </w:p>
        </w:tc>
      </w:tr>
      <w:tr w:rsidR="008461DB" w:rsidRPr="001A4269" w14:paraId="44360E76"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130D2C" w14:textId="77777777" w:rsidR="008461DB" w:rsidRPr="001A4269" w:rsidRDefault="008461DB" w:rsidP="00443839">
            <w:pPr>
              <w:ind w:left="142"/>
              <w:jc w:val="center"/>
              <w:rPr>
                <w:rFonts w:ascii="Century Gothic" w:hAnsi="Century Gothic" w:cs="Arial"/>
                <w:b/>
                <w:sz w:val="18"/>
                <w:szCs w:val="18"/>
                <w:lang w:val="es-CR"/>
              </w:rPr>
            </w:pPr>
            <w:proofErr w:type="spellStart"/>
            <w:r w:rsidRPr="001A4269">
              <w:rPr>
                <w:rFonts w:ascii="Century Gothic" w:hAnsi="Century Gothic" w:cs="Arial"/>
                <w:b/>
                <w:sz w:val="18"/>
                <w:szCs w:val="18"/>
                <w:lang w:val="es-CR"/>
              </w:rPr>
              <w:t>AyA</w:t>
            </w:r>
            <w:proofErr w:type="spellEnd"/>
          </w:p>
        </w:tc>
        <w:tc>
          <w:tcPr>
            <w:tcW w:w="7530" w:type="dxa"/>
            <w:tcBorders>
              <w:top w:val="single" w:sz="4" w:space="0" w:color="auto"/>
              <w:left w:val="single" w:sz="4" w:space="0" w:color="auto"/>
              <w:bottom w:val="single" w:sz="4" w:space="0" w:color="auto"/>
              <w:right w:val="single" w:sz="4" w:space="0" w:color="auto"/>
            </w:tcBorders>
          </w:tcPr>
          <w:p w14:paraId="64CEDBF7" w14:textId="6ED97A94" w:rsidR="003F5830" w:rsidRPr="001A4269" w:rsidRDefault="00AC6542" w:rsidP="003F5830">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C12474" w:rsidRPr="001A4269">
              <w:rPr>
                <w:rFonts w:ascii="Century Gothic" w:hAnsi="Century Gothic" w:cs="Arial"/>
                <w:sz w:val="18"/>
                <w:szCs w:val="18"/>
                <w:lang w:val="es-CR"/>
              </w:rPr>
              <w:t>¢</w:t>
            </w:r>
            <w:r w:rsidR="00C12474">
              <w:rPr>
                <w:rFonts w:ascii="Century Gothic" w:hAnsi="Century Gothic" w:cs="Arial"/>
                <w:sz w:val="18"/>
                <w:szCs w:val="18"/>
                <w:lang w:val="es-CR"/>
              </w:rPr>
              <w:t>137.767</w:t>
            </w:r>
            <w:r w:rsidR="00C12474" w:rsidRPr="001A4269">
              <w:rPr>
                <w:rFonts w:ascii="Century Gothic" w:hAnsi="Century Gothic" w:cs="Arial"/>
                <w:sz w:val="18"/>
                <w:szCs w:val="18"/>
                <w:lang w:val="es-CR"/>
              </w:rPr>
              <w:t xml:space="preserve"> millones, </w:t>
            </w:r>
            <w:r w:rsidR="00C12474">
              <w:rPr>
                <w:rFonts w:ascii="Century Gothic" w:hAnsi="Century Gothic" w:cs="Arial"/>
                <w:sz w:val="18"/>
                <w:szCs w:val="18"/>
                <w:lang w:val="es-CR"/>
              </w:rPr>
              <w:t>54,2</w:t>
            </w:r>
            <w:r w:rsidR="00C12474" w:rsidRPr="001A4269">
              <w:rPr>
                <w:rFonts w:ascii="Century Gothic" w:hAnsi="Century Gothic" w:cs="Arial"/>
                <w:sz w:val="18"/>
                <w:szCs w:val="18"/>
                <w:lang w:val="es-CR"/>
              </w:rPr>
              <w:t xml:space="preserve">% de ejecución y </w:t>
            </w:r>
            <w:r w:rsidR="00C12474">
              <w:rPr>
                <w:rFonts w:ascii="Century Gothic" w:hAnsi="Century Gothic" w:cs="Arial"/>
                <w:sz w:val="18"/>
                <w:szCs w:val="18"/>
                <w:lang w:val="es-CR"/>
              </w:rPr>
              <w:t>3,3</w:t>
            </w:r>
            <w:r w:rsidR="00C12474" w:rsidRPr="001A4269">
              <w:rPr>
                <w:rFonts w:ascii="Century Gothic" w:hAnsi="Century Gothic" w:cs="Arial"/>
                <w:sz w:val="18"/>
                <w:szCs w:val="18"/>
                <w:lang w:val="es-CR"/>
              </w:rPr>
              <w:t xml:space="preserve">% </w:t>
            </w:r>
            <w:r w:rsidR="00C12474">
              <w:rPr>
                <w:rFonts w:ascii="Century Gothic" w:hAnsi="Century Gothic" w:cs="Arial"/>
                <w:sz w:val="18"/>
                <w:szCs w:val="18"/>
                <w:lang w:val="es-CR"/>
              </w:rPr>
              <w:t xml:space="preserve">menos </w:t>
            </w:r>
            <w:r w:rsidR="00C12474" w:rsidRPr="001A4269">
              <w:rPr>
                <w:rFonts w:ascii="Century Gothic" w:hAnsi="Century Gothic" w:cs="Arial"/>
                <w:sz w:val="18"/>
                <w:szCs w:val="18"/>
                <w:lang w:val="es-CR"/>
              </w:rPr>
              <w:t>que el ingreso ejecutado a junio de 2016.</w:t>
            </w:r>
            <w:r w:rsidR="003F5830" w:rsidRPr="00AC6542">
              <w:rPr>
                <w:rFonts w:ascii="Century Gothic" w:hAnsi="Century Gothic" w:cs="Arial"/>
                <w:b/>
                <w:sz w:val="18"/>
                <w:szCs w:val="18"/>
                <w:lang w:val="es-CR"/>
              </w:rPr>
              <w:t xml:space="preserve"> E</w:t>
            </w:r>
            <w:r w:rsidR="003F5830" w:rsidRPr="001A4269">
              <w:rPr>
                <w:rFonts w:ascii="Century Gothic" w:hAnsi="Century Gothic" w:cs="Arial"/>
                <w:b/>
                <w:sz w:val="18"/>
                <w:szCs w:val="18"/>
                <w:lang w:val="es-CR"/>
              </w:rPr>
              <w:t>gresos</w:t>
            </w:r>
            <w:r w:rsidR="003F5830">
              <w:rPr>
                <w:rFonts w:ascii="Century Gothic" w:hAnsi="Century Gothic" w:cs="Arial"/>
                <w:b/>
                <w:sz w:val="18"/>
                <w:szCs w:val="18"/>
                <w:lang w:val="es-CR"/>
              </w:rPr>
              <w:t xml:space="preserve"> </w:t>
            </w:r>
            <w:r w:rsidR="003F5830" w:rsidRPr="00AC6542">
              <w:rPr>
                <w:rFonts w:ascii="Century Gothic" w:hAnsi="Century Gothic" w:cs="Arial"/>
                <w:sz w:val="18"/>
                <w:szCs w:val="18"/>
                <w:lang w:val="es-CR"/>
              </w:rPr>
              <w:t>ejecutados</w:t>
            </w:r>
            <w:r w:rsidR="003F5830" w:rsidRPr="001A4269">
              <w:rPr>
                <w:rFonts w:ascii="Century Gothic" w:hAnsi="Century Gothic" w:cs="Arial"/>
                <w:b/>
                <w:sz w:val="18"/>
                <w:szCs w:val="18"/>
                <w:lang w:val="es-CR"/>
              </w:rPr>
              <w:t>:</w:t>
            </w:r>
            <w:r w:rsidR="003F5830" w:rsidRPr="001A4269">
              <w:rPr>
                <w:rFonts w:ascii="Century Gothic" w:hAnsi="Century Gothic" w:cs="Arial"/>
                <w:sz w:val="18"/>
                <w:szCs w:val="18"/>
                <w:lang w:val="es-CR"/>
              </w:rPr>
              <w:t xml:space="preserve"> ¢</w:t>
            </w:r>
            <w:r w:rsidR="003F5830">
              <w:rPr>
                <w:rFonts w:ascii="Century Gothic" w:hAnsi="Century Gothic" w:cs="Arial"/>
                <w:sz w:val="18"/>
                <w:szCs w:val="18"/>
                <w:lang w:val="es-CR"/>
              </w:rPr>
              <w:t>71.497</w:t>
            </w:r>
            <w:r w:rsidR="003F5830" w:rsidRPr="001A4269">
              <w:rPr>
                <w:rFonts w:ascii="Century Gothic" w:hAnsi="Century Gothic" w:cs="Arial"/>
                <w:sz w:val="18"/>
                <w:szCs w:val="18"/>
                <w:lang w:val="es-CR"/>
              </w:rPr>
              <w:t xml:space="preserve"> millones, </w:t>
            </w:r>
            <w:r w:rsidR="003F5830">
              <w:rPr>
                <w:rFonts w:ascii="Century Gothic" w:hAnsi="Century Gothic" w:cs="Arial"/>
                <w:sz w:val="18"/>
                <w:szCs w:val="18"/>
                <w:lang w:val="es-CR"/>
              </w:rPr>
              <w:t>28,2</w:t>
            </w:r>
            <w:r w:rsidR="003F5830" w:rsidRPr="001A4269">
              <w:rPr>
                <w:rFonts w:ascii="Century Gothic" w:hAnsi="Century Gothic" w:cs="Arial"/>
                <w:sz w:val="18"/>
                <w:szCs w:val="18"/>
                <w:lang w:val="es-CR"/>
              </w:rPr>
              <w:t xml:space="preserve">% de ejecución y </w:t>
            </w:r>
            <w:r w:rsidR="003F5830">
              <w:rPr>
                <w:rFonts w:ascii="Century Gothic" w:hAnsi="Century Gothic" w:cs="Arial"/>
                <w:sz w:val="18"/>
                <w:szCs w:val="18"/>
                <w:lang w:val="es-CR"/>
              </w:rPr>
              <w:t>8,3</w:t>
            </w:r>
            <w:r w:rsidR="003F5830" w:rsidRPr="001A4269">
              <w:rPr>
                <w:rFonts w:ascii="Century Gothic" w:hAnsi="Century Gothic" w:cs="Arial"/>
                <w:sz w:val="18"/>
                <w:szCs w:val="18"/>
                <w:lang w:val="es-CR"/>
              </w:rPr>
              <w:t>% más que el egreso ejecutado a junio de 2016.</w:t>
            </w:r>
          </w:p>
          <w:p w14:paraId="356A25BA" w14:textId="6B886BC9" w:rsidR="00C12474" w:rsidRPr="00C12474" w:rsidRDefault="00C12474" w:rsidP="003F5830">
            <w:pPr>
              <w:pStyle w:val="Prrafodelista"/>
              <w:numPr>
                <w:ilvl w:val="0"/>
                <w:numId w:val="1"/>
              </w:numPr>
              <w:rPr>
                <w:rFonts w:cs="Arial"/>
                <w:szCs w:val="18"/>
                <w:lang w:val="es-CR"/>
              </w:rPr>
            </w:pPr>
            <w:r w:rsidRPr="00C12474">
              <w:rPr>
                <w:rFonts w:cs="Arial"/>
                <w:szCs w:val="18"/>
                <w:lang w:val="es-CR"/>
              </w:rPr>
              <w:t xml:space="preserve">El programa de inversión del </w:t>
            </w:r>
            <w:proofErr w:type="spellStart"/>
            <w:r w:rsidRPr="00C12474">
              <w:rPr>
                <w:rFonts w:cs="Arial"/>
                <w:szCs w:val="18"/>
                <w:lang w:val="es-CR"/>
              </w:rPr>
              <w:t>AyA</w:t>
            </w:r>
            <w:proofErr w:type="spellEnd"/>
            <w:r w:rsidRPr="00C12474">
              <w:rPr>
                <w:rFonts w:cs="Arial"/>
                <w:szCs w:val="18"/>
                <w:lang w:val="es-CR"/>
              </w:rPr>
              <w:t xml:space="preserve"> representa un 51% del total del presupuesto. No obstante, su ejecución al prime</w:t>
            </w:r>
            <w:r w:rsidR="003F5830">
              <w:rPr>
                <w:rFonts w:cs="Arial"/>
                <w:szCs w:val="18"/>
                <w:lang w:val="es-CR"/>
              </w:rPr>
              <w:t>r semestre de 2017 es de 16,4%.</w:t>
            </w:r>
          </w:p>
        </w:tc>
      </w:tr>
      <w:tr w:rsidR="00443839" w:rsidRPr="001A4269" w14:paraId="51211AB3" w14:textId="77777777" w:rsidTr="000864C1">
        <w:trPr>
          <w:trHeight w:val="1200"/>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A00E" w14:textId="0E2CE8C3" w:rsidR="00443839" w:rsidRPr="001A4269" w:rsidRDefault="00443839" w:rsidP="000864C1">
            <w:pPr>
              <w:jc w:val="center"/>
              <w:rPr>
                <w:rFonts w:ascii="Century Gothic" w:hAnsi="Century Gothic" w:cs="Arial"/>
                <w:b/>
                <w:sz w:val="18"/>
                <w:szCs w:val="18"/>
                <w:lang w:val="es-CR"/>
              </w:rPr>
            </w:pPr>
            <w:r w:rsidRPr="001A4269">
              <w:rPr>
                <w:rFonts w:ascii="Century Gothic" w:hAnsi="Century Gothic" w:cs="Arial"/>
                <w:b/>
                <w:sz w:val="18"/>
                <w:szCs w:val="18"/>
                <w:lang w:val="es-CR"/>
              </w:rPr>
              <w:t>Dirección General de Migración y Extranjería</w:t>
            </w:r>
          </w:p>
        </w:tc>
        <w:tc>
          <w:tcPr>
            <w:tcW w:w="7530" w:type="dxa"/>
            <w:tcBorders>
              <w:top w:val="single" w:sz="4" w:space="0" w:color="auto"/>
              <w:left w:val="single" w:sz="4" w:space="0" w:color="auto"/>
              <w:bottom w:val="single" w:sz="4" w:space="0" w:color="auto"/>
              <w:right w:val="single" w:sz="4" w:space="0" w:color="auto"/>
            </w:tcBorders>
          </w:tcPr>
          <w:p w14:paraId="666A1519" w14:textId="6B34981B" w:rsidR="00C12474" w:rsidRPr="001A4269" w:rsidRDefault="00AC6542" w:rsidP="000864C1">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C12474" w:rsidRPr="001A4269">
              <w:rPr>
                <w:rFonts w:ascii="Century Gothic" w:hAnsi="Century Gothic" w:cs="Arial"/>
                <w:sz w:val="18"/>
                <w:szCs w:val="18"/>
                <w:lang w:val="es-CR"/>
              </w:rPr>
              <w:t>¢</w:t>
            </w:r>
            <w:r w:rsidR="00C12474">
              <w:rPr>
                <w:rFonts w:ascii="Century Gothic" w:hAnsi="Century Gothic" w:cs="Arial"/>
                <w:sz w:val="18"/>
                <w:szCs w:val="18"/>
                <w:lang w:val="es-CR"/>
              </w:rPr>
              <w:t>21.017</w:t>
            </w:r>
            <w:r w:rsidR="00C12474" w:rsidRPr="001A4269">
              <w:rPr>
                <w:rFonts w:ascii="Century Gothic" w:hAnsi="Century Gothic" w:cs="Arial"/>
                <w:sz w:val="18"/>
                <w:szCs w:val="18"/>
                <w:lang w:val="es-CR"/>
              </w:rPr>
              <w:t xml:space="preserve"> millones, </w:t>
            </w:r>
            <w:r w:rsidR="00C12474">
              <w:rPr>
                <w:rFonts w:ascii="Century Gothic" w:hAnsi="Century Gothic" w:cs="Arial"/>
                <w:sz w:val="18"/>
                <w:szCs w:val="18"/>
                <w:lang w:val="es-CR"/>
              </w:rPr>
              <w:t>107,8</w:t>
            </w:r>
            <w:r w:rsidR="00C12474" w:rsidRPr="001A4269">
              <w:rPr>
                <w:rFonts w:ascii="Century Gothic" w:hAnsi="Century Gothic" w:cs="Arial"/>
                <w:sz w:val="18"/>
                <w:szCs w:val="18"/>
                <w:lang w:val="es-CR"/>
              </w:rPr>
              <w:t xml:space="preserve">% de ejecución y </w:t>
            </w:r>
            <w:r w:rsidR="00C12474">
              <w:rPr>
                <w:rFonts w:ascii="Century Gothic" w:hAnsi="Century Gothic" w:cs="Arial"/>
                <w:sz w:val="18"/>
                <w:szCs w:val="18"/>
                <w:lang w:val="es-CR"/>
              </w:rPr>
              <w:t>9,3</w:t>
            </w:r>
            <w:r w:rsidR="00C12474" w:rsidRPr="001A4269">
              <w:rPr>
                <w:rFonts w:ascii="Century Gothic" w:hAnsi="Century Gothic" w:cs="Arial"/>
                <w:sz w:val="18"/>
                <w:szCs w:val="18"/>
                <w:lang w:val="es-CR"/>
              </w:rPr>
              <w:t xml:space="preserve">% </w:t>
            </w:r>
            <w:r w:rsidR="00C12474">
              <w:rPr>
                <w:rFonts w:ascii="Century Gothic" w:hAnsi="Century Gothic" w:cs="Arial"/>
                <w:sz w:val="18"/>
                <w:szCs w:val="18"/>
                <w:lang w:val="es-CR"/>
              </w:rPr>
              <w:t xml:space="preserve">más </w:t>
            </w:r>
            <w:r w:rsidR="00C12474" w:rsidRPr="001A4269">
              <w:rPr>
                <w:rFonts w:ascii="Century Gothic" w:hAnsi="Century Gothic" w:cs="Arial"/>
                <w:sz w:val="18"/>
                <w:szCs w:val="18"/>
                <w:lang w:val="es-CR"/>
              </w:rPr>
              <w:t>que el ingreso ejecutado a junio de 2016.</w:t>
            </w:r>
            <w:r w:rsidR="003F5830" w:rsidRPr="00AC6542">
              <w:rPr>
                <w:rFonts w:ascii="Century Gothic" w:hAnsi="Century Gothic" w:cs="Arial"/>
                <w:b/>
                <w:sz w:val="18"/>
                <w:szCs w:val="18"/>
                <w:lang w:val="es-CR"/>
              </w:rPr>
              <w:t xml:space="preserve"> E</w:t>
            </w:r>
            <w:r w:rsidR="003F5830" w:rsidRPr="001A4269">
              <w:rPr>
                <w:rFonts w:ascii="Century Gothic" w:hAnsi="Century Gothic" w:cs="Arial"/>
                <w:b/>
                <w:sz w:val="18"/>
                <w:szCs w:val="18"/>
                <w:lang w:val="es-CR"/>
              </w:rPr>
              <w:t>gresos</w:t>
            </w:r>
            <w:r w:rsidR="003F5830">
              <w:rPr>
                <w:rFonts w:ascii="Century Gothic" w:hAnsi="Century Gothic" w:cs="Arial"/>
                <w:b/>
                <w:sz w:val="18"/>
                <w:szCs w:val="18"/>
                <w:lang w:val="es-CR"/>
              </w:rPr>
              <w:t xml:space="preserve"> </w:t>
            </w:r>
            <w:r w:rsidR="003F5830" w:rsidRPr="00AC6542">
              <w:rPr>
                <w:rFonts w:ascii="Century Gothic" w:hAnsi="Century Gothic" w:cs="Arial"/>
                <w:sz w:val="18"/>
                <w:szCs w:val="18"/>
                <w:lang w:val="es-CR"/>
              </w:rPr>
              <w:t>ejecutados</w:t>
            </w:r>
            <w:r w:rsidR="003F5830" w:rsidRPr="001A4269">
              <w:rPr>
                <w:rFonts w:ascii="Century Gothic" w:hAnsi="Century Gothic" w:cs="Arial"/>
                <w:b/>
                <w:sz w:val="18"/>
                <w:szCs w:val="18"/>
                <w:lang w:val="es-CR"/>
              </w:rPr>
              <w:t>:</w:t>
            </w:r>
            <w:r w:rsidR="003F5830" w:rsidRPr="001A4269">
              <w:rPr>
                <w:rFonts w:ascii="Century Gothic" w:hAnsi="Century Gothic" w:cs="Arial"/>
                <w:sz w:val="18"/>
                <w:szCs w:val="18"/>
                <w:lang w:val="es-CR"/>
              </w:rPr>
              <w:t xml:space="preserve"> ¢</w:t>
            </w:r>
            <w:r w:rsidR="003F5830">
              <w:rPr>
                <w:rFonts w:ascii="Century Gothic" w:hAnsi="Century Gothic" w:cs="Arial"/>
                <w:sz w:val="18"/>
                <w:szCs w:val="18"/>
                <w:lang w:val="es-CR"/>
              </w:rPr>
              <w:t>4.135</w:t>
            </w:r>
            <w:r w:rsidR="003F5830" w:rsidRPr="001A4269">
              <w:rPr>
                <w:rFonts w:ascii="Century Gothic" w:hAnsi="Century Gothic" w:cs="Arial"/>
                <w:sz w:val="18"/>
                <w:szCs w:val="18"/>
                <w:lang w:val="es-CR"/>
              </w:rPr>
              <w:t xml:space="preserve"> millones, </w:t>
            </w:r>
            <w:r w:rsidR="003F5830">
              <w:rPr>
                <w:rFonts w:ascii="Century Gothic" w:hAnsi="Century Gothic" w:cs="Arial"/>
                <w:sz w:val="18"/>
                <w:szCs w:val="18"/>
                <w:lang w:val="es-CR"/>
              </w:rPr>
              <w:t>21,2</w:t>
            </w:r>
            <w:r w:rsidR="003F5830" w:rsidRPr="001A4269">
              <w:rPr>
                <w:rFonts w:ascii="Century Gothic" w:hAnsi="Century Gothic" w:cs="Arial"/>
                <w:sz w:val="18"/>
                <w:szCs w:val="18"/>
                <w:lang w:val="es-CR"/>
              </w:rPr>
              <w:t xml:space="preserve">% de ejecución y </w:t>
            </w:r>
            <w:r w:rsidR="003F5830">
              <w:rPr>
                <w:rFonts w:ascii="Century Gothic" w:hAnsi="Century Gothic" w:cs="Arial"/>
                <w:sz w:val="18"/>
                <w:szCs w:val="18"/>
                <w:lang w:val="es-CR"/>
              </w:rPr>
              <w:t>210,2</w:t>
            </w:r>
            <w:r w:rsidR="003F5830" w:rsidRPr="001A4269">
              <w:rPr>
                <w:rFonts w:ascii="Century Gothic" w:hAnsi="Century Gothic" w:cs="Arial"/>
                <w:sz w:val="18"/>
                <w:szCs w:val="18"/>
                <w:lang w:val="es-CR"/>
              </w:rPr>
              <w:t>% más que el egreso ejecutado a junio de 2016.</w:t>
            </w:r>
          </w:p>
          <w:p w14:paraId="03BDF18B" w14:textId="690696CF" w:rsidR="000864C1" w:rsidRPr="005164C9" w:rsidRDefault="000864C1" w:rsidP="000864C1">
            <w:pPr>
              <w:pStyle w:val="Prrafodelista"/>
              <w:numPr>
                <w:ilvl w:val="0"/>
                <w:numId w:val="1"/>
              </w:numPr>
              <w:contextualSpacing/>
            </w:pPr>
            <w:r>
              <w:t xml:space="preserve">El </w:t>
            </w:r>
            <w:r w:rsidRPr="005164C9">
              <w:t>ingreso percibido considera los recursos provenientes del superávit total acumulado, el cual en un porcentaje importante debe ser transferido para la operación de los Fideicomisos Fondo Social Migratorio, Fondo Especial de Migración y Fondo Nacional contra la Trata de Personas y el Tráfico Ilícito de Migrantes (</w:t>
            </w:r>
            <w:proofErr w:type="spellStart"/>
            <w:r w:rsidRPr="005164C9">
              <w:t>Fonatt</w:t>
            </w:r>
            <w:proofErr w:type="spellEnd"/>
            <w:r w:rsidRPr="005164C9">
              <w:t>).</w:t>
            </w:r>
          </w:p>
          <w:p w14:paraId="36E382E3" w14:textId="77777777" w:rsidR="00443839" w:rsidRPr="00C12474" w:rsidRDefault="00C12474" w:rsidP="000864C1">
            <w:pPr>
              <w:pStyle w:val="Prrafodelista"/>
              <w:numPr>
                <w:ilvl w:val="0"/>
                <w:numId w:val="1"/>
              </w:numPr>
              <w:rPr>
                <w:rFonts w:cs="Arial"/>
                <w:szCs w:val="18"/>
                <w:lang w:val="es-CR"/>
              </w:rPr>
            </w:pPr>
            <w:r w:rsidRPr="00C12474">
              <w:rPr>
                <w:rFonts w:cs="Arial"/>
                <w:szCs w:val="18"/>
                <w:lang w:val="es-CR"/>
              </w:rPr>
              <w:t xml:space="preserve">El 32,3% </w:t>
            </w:r>
            <w:r>
              <w:rPr>
                <w:rFonts w:cs="Arial"/>
                <w:szCs w:val="18"/>
                <w:lang w:val="es-CR"/>
              </w:rPr>
              <w:t xml:space="preserve">del presupuesto </w:t>
            </w:r>
            <w:r w:rsidRPr="00C12474">
              <w:rPr>
                <w:rFonts w:cs="Arial"/>
                <w:szCs w:val="18"/>
                <w:lang w:val="es-CR"/>
              </w:rPr>
              <w:t>es ejecutado directamente por la Junta y el 67,7% restante es transferido a los fideicomisos.</w:t>
            </w:r>
          </w:p>
        </w:tc>
      </w:tr>
      <w:tr w:rsidR="007E733E" w:rsidRPr="001A4269" w14:paraId="45BDC9B7" w14:textId="77777777" w:rsidTr="008C6D49">
        <w:trPr>
          <w:trHeight w:val="1309"/>
        </w:trPr>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0A35DE" w14:textId="77777777" w:rsidR="007E733E" w:rsidRPr="001A4269" w:rsidRDefault="007E733E"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JUDESUR</w:t>
            </w:r>
          </w:p>
        </w:tc>
        <w:tc>
          <w:tcPr>
            <w:tcW w:w="7530" w:type="dxa"/>
            <w:tcBorders>
              <w:top w:val="single" w:sz="4" w:space="0" w:color="auto"/>
              <w:left w:val="single" w:sz="4" w:space="0" w:color="auto"/>
              <w:bottom w:val="single" w:sz="4" w:space="0" w:color="auto"/>
              <w:right w:val="single" w:sz="4" w:space="0" w:color="auto"/>
            </w:tcBorders>
          </w:tcPr>
          <w:p w14:paraId="6879B9DF" w14:textId="20DC9D98" w:rsidR="000864C1" w:rsidRPr="001A4269" w:rsidRDefault="00AC6542" w:rsidP="000864C1">
            <w:pPr>
              <w:numPr>
                <w:ilvl w:val="0"/>
                <w:numId w:val="1"/>
              </w:numPr>
              <w:jc w:val="both"/>
              <w:rPr>
                <w:rFonts w:ascii="Century Gothic" w:hAnsi="Century Gothic" w:cs="Arial"/>
                <w:sz w:val="18"/>
                <w:szCs w:val="18"/>
                <w:lang w:val="es-CR"/>
              </w:rPr>
            </w:pPr>
            <w:r w:rsidRPr="00AC6542">
              <w:rPr>
                <w:rFonts w:ascii="Century Gothic" w:hAnsi="Century Gothic" w:cs="Arial"/>
                <w:b/>
                <w:sz w:val="18"/>
                <w:szCs w:val="18"/>
                <w:lang w:val="es-CR"/>
              </w:rPr>
              <w:t>In</w:t>
            </w:r>
            <w:r w:rsidRPr="001A4269">
              <w:rPr>
                <w:rFonts w:ascii="Century Gothic" w:hAnsi="Century Gothic" w:cs="Arial"/>
                <w:b/>
                <w:sz w:val="18"/>
                <w:szCs w:val="18"/>
                <w:lang w:val="es-CR"/>
              </w:rPr>
              <w:t>gresos</w:t>
            </w:r>
            <w:r>
              <w:rPr>
                <w:rFonts w:ascii="Century Gothic" w:hAnsi="Century Gothic" w:cs="Arial"/>
                <w:b/>
                <w:sz w:val="18"/>
                <w:szCs w:val="18"/>
                <w:lang w:val="es-CR"/>
              </w:rPr>
              <w:t xml:space="preserve"> </w:t>
            </w:r>
            <w:r w:rsidRPr="00AC6542">
              <w:rPr>
                <w:rFonts w:ascii="Century Gothic" w:hAnsi="Century Gothic" w:cs="Arial"/>
                <w:sz w:val="18"/>
                <w:szCs w:val="18"/>
                <w:lang w:val="es-CR"/>
              </w:rPr>
              <w:t xml:space="preserve">ejecutados: </w:t>
            </w:r>
            <w:r w:rsidR="00C12474" w:rsidRPr="001A4269">
              <w:rPr>
                <w:rFonts w:ascii="Century Gothic" w:hAnsi="Century Gothic" w:cs="Arial"/>
                <w:sz w:val="18"/>
                <w:szCs w:val="18"/>
                <w:lang w:val="es-CR"/>
              </w:rPr>
              <w:t>¢</w:t>
            </w:r>
            <w:r w:rsidR="00C12474">
              <w:rPr>
                <w:rFonts w:ascii="Century Gothic" w:hAnsi="Century Gothic" w:cs="Arial"/>
                <w:sz w:val="18"/>
                <w:szCs w:val="18"/>
                <w:lang w:val="es-CR"/>
              </w:rPr>
              <w:t>20.704</w:t>
            </w:r>
            <w:r w:rsidR="00C12474" w:rsidRPr="001A4269">
              <w:rPr>
                <w:rFonts w:ascii="Century Gothic" w:hAnsi="Century Gothic" w:cs="Arial"/>
                <w:sz w:val="18"/>
                <w:szCs w:val="18"/>
                <w:lang w:val="es-CR"/>
              </w:rPr>
              <w:t xml:space="preserve"> millones, </w:t>
            </w:r>
            <w:r w:rsidR="00C12474">
              <w:rPr>
                <w:rFonts w:ascii="Century Gothic" w:hAnsi="Century Gothic" w:cs="Arial"/>
                <w:sz w:val="18"/>
                <w:szCs w:val="18"/>
                <w:lang w:val="es-CR"/>
              </w:rPr>
              <w:t>212,0</w:t>
            </w:r>
            <w:r w:rsidR="00C12474" w:rsidRPr="001A4269">
              <w:rPr>
                <w:rFonts w:ascii="Century Gothic" w:hAnsi="Century Gothic" w:cs="Arial"/>
                <w:sz w:val="18"/>
                <w:szCs w:val="18"/>
                <w:lang w:val="es-CR"/>
              </w:rPr>
              <w:t xml:space="preserve">% de ejecución y </w:t>
            </w:r>
            <w:r w:rsidR="00C12474">
              <w:rPr>
                <w:rFonts w:ascii="Century Gothic" w:hAnsi="Century Gothic" w:cs="Arial"/>
                <w:sz w:val="18"/>
                <w:szCs w:val="18"/>
                <w:lang w:val="es-CR"/>
              </w:rPr>
              <w:t>12,5</w:t>
            </w:r>
            <w:r w:rsidR="00C12474" w:rsidRPr="001A4269">
              <w:rPr>
                <w:rFonts w:ascii="Century Gothic" w:hAnsi="Century Gothic" w:cs="Arial"/>
                <w:sz w:val="18"/>
                <w:szCs w:val="18"/>
                <w:lang w:val="es-CR"/>
              </w:rPr>
              <w:t xml:space="preserve">% </w:t>
            </w:r>
            <w:r w:rsidR="00C12474">
              <w:rPr>
                <w:rFonts w:ascii="Century Gothic" w:hAnsi="Century Gothic" w:cs="Arial"/>
                <w:sz w:val="18"/>
                <w:szCs w:val="18"/>
                <w:lang w:val="es-CR"/>
              </w:rPr>
              <w:t xml:space="preserve">menos </w:t>
            </w:r>
            <w:r w:rsidR="00C12474" w:rsidRPr="001A4269">
              <w:rPr>
                <w:rFonts w:ascii="Century Gothic" w:hAnsi="Century Gothic" w:cs="Arial"/>
                <w:sz w:val="18"/>
                <w:szCs w:val="18"/>
                <w:lang w:val="es-CR"/>
              </w:rPr>
              <w:t>que el ingreso ejecutado a junio de 2016.</w:t>
            </w:r>
            <w:r w:rsidR="000864C1" w:rsidRPr="00AC6542">
              <w:rPr>
                <w:rFonts w:ascii="Century Gothic" w:hAnsi="Century Gothic" w:cs="Arial"/>
                <w:b/>
                <w:sz w:val="18"/>
                <w:szCs w:val="18"/>
                <w:lang w:val="es-CR"/>
              </w:rPr>
              <w:t xml:space="preserve"> E</w:t>
            </w:r>
            <w:r w:rsidR="000864C1" w:rsidRPr="001A4269">
              <w:rPr>
                <w:rFonts w:ascii="Century Gothic" w:hAnsi="Century Gothic" w:cs="Arial"/>
                <w:b/>
                <w:sz w:val="18"/>
                <w:szCs w:val="18"/>
                <w:lang w:val="es-CR"/>
              </w:rPr>
              <w:t>gresos</w:t>
            </w:r>
            <w:r w:rsidR="000864C1">
              <w:rPr>
                <w:rFonts w:ascii="Century Gothic" w:hAnsi="Century Gothic" w:cs="Arial"/>
                <w:b/>
                <w:sz w:val="18"/>
                <w:szCs w:val="18"/>
                <w:lang w:val="es-CR"/>
              </w:rPr>
              <w:t xml:space="preserve"> </w:t>
            </w:r>
            <w:r w:rsidR="000864C1" w:rsidRPr="00AC6542">
              <w:rPr>
                <w:rFonts w:ascii="Century Gothic" w:hAnsi="Century Gothic" w:cs="Arial"/>
                <w:sz w:val="18"/>
                <w:szCs w:val="18"/>
                <w:lang w:val="es-CR"/>
              </w:rPr>
              <w:t>ejecutados</w:t>
            </w:r>
            <w:r w:rsidR="000864C1" w:rsidRPr="001A4269">
              <w:rPr>
                <w:rFonts w:ascii="Century Gothic" w:hAnsi="Century Gothic" w:cs="Arial"/>
                <w:b/>
                <w:sz w:val="18"/>
                <w:szCs w:val="18"/>
                <w:lang w:val="es-CR"/>
              </w:rPr>
              <w:t>:</w:t>
            </w:r>
            <w:r w:rsidR="000864C1" w:rsidRPr="001A4269">
              <w:rPr>
                <w:rFonts w:ascii="Century Gothic" w:hAnsi="Century Gothic" w:cs="Arial"/>
                <w:sz w:val="18"/>
                <w:szCs w:val="18"/>
                <w:lang w:val="es-CR"/>
              </w:rPr>
              <w:t xml:space="preserve"> ¢</w:t>
            </w:r>
            <w:r w:rsidR="000864C1">
              <w:rPr>
                <w:rFonts w:ascii="Century Gothic" w:hAnsi="Century Gothic" w:cs="Arial"/>
                <w:sz w:val="18"/>
                <w:szCs w:val="18"/>
                <w:lang w:val="es-CR"/>
              </w:rPr>
              <w:t>1.963</w:t>
            </w:r>
            <w:r w:rsidR="000864C1" w:rsidRPr="001A4269">
              <w:rPr>
                <w:rFonts w:ascii="Century Gothic" w:hAnsi="Century Gothic" w:cs="Arial"/>
                <w:sz w:val="18"/>
                <w:szCs w:val="18"/>
                <w:lang w:val="es-CR"/>
              </w:rPr>
              <w:t xml:space="preserve"> millones, </w:t>
            </w:r>
            <w:r w:rsidR="000864C1">
              <w:rPr>
                <w:rFonts w:ascii="Century Gothic" w:hAnsi="Century Gothic" w:cs="Arial"/>
                <w:sz w:val="18"/>
                <w:szCs w:val="18"/>
                <w:lang w:val="es-CR"/>
              </w:rPr>
              <w:t>20,1</w:t>
            </w:r>
            <w:r w:rsidR="000864C1" w:rsidRPr="001A4269">
              <w:rPr>
                <w:rFonts w:ascii="Century Gothic" w:hAnsi="Century Gothic" w:cs="Arial"/>
                <w:sz w:val="18"/>
                <w:szCs w:val="18"/>
                <w:lang w:val="es-CR"/>
              </w:rPr>
              <w:t xml:space="preserve">% de ejecución y </w:t>
            </w:r>
            <w:r w:rsidR="000864C1">
              <w:rPr>
                <w:rFonts w:ascii="Century Gothic" w:hAnsi="Century Gothic" w:cs="Arial"/>
                <w:sz w:val="18"/>
                <w:szCs w:val="18"/>
                <w:lang w:val="es-CR"/>
              </w:rPr>
              <w:t>39,9</w:t>
            </w:r>
            <w:r w:rsidR="000864C1" w:rsidRPr="001A4269">
              <w:rPr>
                <w:rFonts w:ascii="Century Gothic" w:hAnsi="Century Gothic" w:cs="Arial"/>
                <w:sz w:val="18"/>
                <w:szCs w:val="18"/>
                <w:lang w:val="es-CR"/>
              </w:rPr>
              <w:t xml:space="preserve">% </w:t>
            </w:r>
            <w:r w:rsidR="000864C1">
              <w:rPr>
                <w:rFonts w:ascii="Century Gothic" w:hAnsi="Century Gothic" w:cs="Arial"/>
                <w:sz w:val="18"/>
                <w:szCs w:val="18"/>
                <w:lang w:val="es-CR"/>
              </w:rPr>
              <w:t>menos</w:t>
            </w:r>
            <w:r w:rsidR="000864C1" w:rsidRPr="001A4269">
              <w:rPr>
                <w:rFonts w:ascii="Century Gothic" w:hAnsi="Century Gothic" w:cs="Arial"/>
                <w:sz w:val="18"/>
                <w:szCs w:val="18"/>
                <w:lang w:val="es-CR"/>
              </w:rPr>
              <w:t xml:space="preserve"> que el egreso ejecutado a junio de 2016.</w:t>
            </w:r>
          </w:p>
          <w:p w14:paraId="2A381D03" w14:textId="058D5D95" w:rsidR="007E733E" w:rsidRPr="00710B29" w:rsidRDefault="000864C1" w:rsidP="006B071D">
            <w:pPr>
              <w:numPr>
                <w:ilvl w:val="0"/>
                <w:numId w:val="1"/>
              </w:numPr>
              <w:jc w:val="both"/>
              <w:rPr>
                <w:rFonts w:ascii="Century Gothic" w:hAnsi="Century Gothic" w:cs="Arial"/>
                <w:sz w:val="18"/>
                <w:szCs w:val="18"/>
                <w:lang w:val="es-CR"/>
              </w:rPr>
            </w:pPr>
            <w:r w:rsidRPr="000864C1">
              <w:rPr>
                <w:rFonts w:ascii="Century Gothic" w:hAnsi="Century Gothic" w:cs="Arial"/>
                <w:sz w:val="18"/>
                <w:szCs w:val="18"/>
                <w:lang w:val="es-CR"/>
              </w:rPr>
              <w:t>La recaudación de ingresos tributarios en JUDESUR disminuyó en un 54,6%, principalmente por la rebaja en el porcentaje del impuesto único sobre las mercaderías almacenadas en el Depósito Libre Comercial de Golfito. En marzo 2017 se aprobó reforma a la Ley 9356, la cual plantea una nueva distribución de los recursos que permite financiar, entre otros gastos, los administrativos.</w:t>
            </w:r>
          </w:p>
        </w:tc>
      </w:tr>
      <w:tr w:rsidR="009F2E1D" w:rsidRPr="001A4269" w14:paraId="718C1176" w14:textId="77777777" w:rsidTr="008C6D4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5237" w14:textId="77777777" w:rsidR="009F2E1D" w:rsidRPr="001A4269" w:rsidRDefault="009F2E1D" w:rsidP="00443839">
            <w:pPr>
              <w:jc w:val="center"/>
              <w:rPr>
                <w:rFonts w:ascii="Century Gothic" w:hAnsi="Century Gothic" w:cs="Arial"/>
                <w:b/>
                <w:sz w:val="18"/>
                <w:szCs w:val="18"/>
                <w:lang w:val="es-CR"/>
              </w:rPr>
            </w:pPr>
            <w:r w:rsidRPr="001A4269">
              <w:rPr>
                <w:rFonts w:ascii="Century Gothic" w:hAnsi="Century Gothic" w:cs="Arial"/>
                <w:b/>
                <w:sz w:val="18"/>
                <w:szCs w:val="18"/>
                <w:lang w:val="es-CR"/>
              </w:rPr>
              <w:t>Sector Municipal</w:t>
            </w:r>
          </w:p>
        </w:tc>
        <w:tc>
          <w:tcPr>
            <w:tcW w:w="7530" w:type="dxa"/>
            <w:tcBorders>
              <w:top w:val="single" w:sz="4" w:space="0" w:color="auto"/>
              <w:left w:val="single" w:sz="4" w:space="0" w:color="auto"/>
              <w:bottom w:val="single" w:sz="4" w:space="0" w:color="auto"/>
              <w:right w:val="single" w:sz="4" w:space="0" w:color="auto"/>
            </w:tcBorders>
          </w:tcPr>
          <w:p w14:paraId="2285C2AA" w14:textId="0089BA45" w:rsidR="005E130C" w:rsidRPr="001A4269" w:rsidRDefault="00710B29" w:rsidP="005E130C">
            <w:pPr>
              <w:numPr>
                <w:ilvl w:val="0"/>
                <w:numId w:val="1"/>
              </w:numPr>
              <w:jc w:val="both"/>
              <w:rPr>
                <w:rFonts w:ascii="Century Gothic" w:hAnsi="Century Gothic" w:cs="Arial"/>
                <w:sz w:val="18"/>
                <w:szCs w:val="18"/>
                <w:lang w:val="es-CR"/>
              </w:rPr>
            </w:pPr>
            <w:r w:rsidRPr="001A4269">
              <w:rPr>
                <w:rFonts w:ascii="Century Gothic" w:hAnsi="Century Gothic" w:cs="Arial"/>
                <w:sz w:val="18"/>
                <w:szCs w:val="18"/>
                <w:lang w:val="es-CR"/>
              </w:rPr>
              <w:t xml:space="preserve">Presupuesto ejecutado de </w:t>
            </w:r>
            <w:r w:rsidRPr="001A4269">
              <w:rPr>
                <w:rFonts w:ascii="Century Gothic" w:hAnsi="Century Gothic" w:cs="Arial"/>
                <w:b/>
                <w:sz w:val="18"/>
                <w:szCs w:val="18"/>
                <w:lang w:val="es-CR"/>
              </w:rPr>
              <w:t>ingresos:</w:t>
            </w:r>
            <w:r w:rsidRPr="001A4269">
              <w:rPr>
                <w:rFonts w:ascii="Century Gothic" w:hAnsi="Century Gothic" w:cs="Arial"/>
                <w:sz w:val="18"/>
                <w:szCs w:val="18"/>
                <w:lang w:val="es-CR"/>
              </w:rPr>
              <w:t xml:space="preserve"> ¢</w:t>
            </w:r>
            <w:r>
              <w:rPr>
                <w:rFonts w:ascii="Century Gothic" w:hAnsi="Century Gothic" w:cs="Arial"/>
                <w:sz w:val="18"/>
                <w:szCs w:val="18"/>
                <w:lang w:val="es-CR"/>
              </w:rPr>
              <w:t>361.647</w:t>
            </w:r>
            <w:r w:rsidRPr="001A4269">
              <w:rPr>
                <w:rFonts w:ascii="Century Gothic" w:hAnsi="Century Gothic" w:cs="Arial"/>
                <w:sz w:val="18"/>
                <w:szCs w:val="18"/>
                <w:lang w:val="es-CR"/>
              </w:rPr>
              <w:t xml:space="preserve"> millones, </w:t>
            </w:r>
            <w:r>
              <w:rPr>
                <w:rFonts w:ascii="Century Gothic" w:hAnsi="Century Gothic" w:cs="Arial"/>
                <w:sz w:val="18"/>
                <w:szCs w:val="18"/>
                <w:lang w:val="es-CR"/>
              </w:rPr>
              <w:t>59,5</w:t>
            </w:r>
            <w:r w:rsidRPr="001A4269">
              <w:rPr>
                <w:rFonts w:ascii="Century Gothic" w:hAnsi="Century Gothic" w:cs="Arial"/>
                <w:sz w:val="18"/>
                <w:szCs w:val="18"/>
                <w:lang w:val="es-CR"/>
              </w:rPr>
              <w:t xml:space="preserve">% de ejecución y </w:t>
            </w:r>
            <w:r>
              <w:rPr>
                <w:rFonts w:ascii="Century Gothic" w:hAnsi="Century Gothic" w:cs="Arial"/>
                <w:sz w:val="18"/>
                <w:szCs w:val="18"/>
                <w:lang w:val="es-CR"/>
              </w:rPr>
              <w:t>8,1</w:t>
            </w:r>
            <w:r w:rsidRPr="001A4269">
              <w:rPr>
                <w:rFonts w:ascii="Century Gothic" w:hAnsi="Century Gothic" w:cs="Arial"/>
                <w:sz w:val="18"/>
                <w:szCs w:val="18"/>
                <w:lang w:val="es-CR"/>
              </w:rPr>
              <w:t xml:space="preserve">% </w:t>
            </w:r>
            <w:r>
              <w:rPr>
                <w:rFonts w:ascii="Century Gothic" w:hAnsi="Century Gothic" w:cs="Arial"/>
                <w:sz w:val="18"/>
                <w:szCs w:val="18"/>
                <w:lang w:val="es-CR"/>
              </w:rPr>
              <w:t xml:space="preserve">más </w:t>
            </w:r>
            <w:r w:rsidRPr="001A4269">
              <w:rPr>
                <w:rFonts w:ascii="Century Gothic" w:hAnsi="Century Gothic" w:cs="Arial"/>
                <w:sz w:val="18"/>
                <w:szCs w:val="18"/>
                <w:lang w:val="es-CR"/>
              </w:rPr>
              <w:t>que el ingreso ejecutado a junio de 2016.</w:t>
            </w:r>
            <w:r w:rsidR="005E130C" w:rsidRPr="00AC6542">
              <w:rPr>
                <w:rFonts w:ascii="Century Gothic" w:hAnsi="Century Gothic" w:cs="Arial"/>
                <w:b/>
                <w:sz w:val="18"/>
                <w:szCs w:val="18"/>
                <w:lang w:val="es-CR"/>
              </w:rPr>
              <w:t xml:space="preserve"> E</w:t>
            </w:r>
            <w:r w:rsidR="005E130C" w:rsidRPr="001A4269">
              <w:rPr>
                <w:rFonts w:ascii="Century Gothic" w:hAnsi="Century Gothic" w:cs="Arial"/>
                <w:b/>
                <w:sz w:val="18"/>
                <w:szCs w:val="18"/>
                <w:lang w:val="es-CR"/>
              </w:rPr>
              <w:t>gresos</w:t>
            </w:r>
            <w:r w:rsidR="005E130C">
              <w:rPr>
                <w:rFonts w:ascii="Century Gothic" w:hAnsi="Century Gothic" w:cs="Arial"/>
                <w:b/>
                <w:sz w:val="18"/>
                <w:szCs w:val="18"/>
                <w:lang w:val="es-CR"/>
              </w:rPr>
              <w:t xml:space="preserve"> </w:t>
            </w:r>
            <w:r w:rsidR="005E130C" w:rsidRPr="00AC6542">
              <w:rPr>
                <w:rFonts w:ascii="Century Gothic" w:hAnsi="Century Gothic" w:cs="Arial"/>
                <w:sz w:val="18"/>
                <w:szCs w:val="18"/>
                <w:lang w:val="es-CR"/>
              </w:rPr>
              <w:t>ejecutados</w:t>
            </w:r>
            <w:r w:rsidR="005E130C" w:rsidRPr="001A4269">
              <w:rPr>
                <w:rFonts w:ascii="Century Gothic" w:hAnsi="Century Gothic" w:cs="Arial"/>
                <w:b/>
                <w:sz w:val="18"/>
                <w:szCs w:val="18"/>
                <w:lang w:val="es-CR"/>
              </w:rPr>
              <w:t>:</w:t>
            </w:r>
            <w:r w:rsidR="005E130C" w:rsidRPr="001A4269">
              <w:rPr>
                <w:rFonts w:ascii="Century Gothic" w:hAnsi="Century Gothic" w:cs="Arial"/>
                <w:sz w:val="18"/>
                <w:szCs w:val="18"/>
                <w:lang w:val="es-CR"/>
              </w:rPr>
              <w:t xml:space="preserve"> ¢</w:t>
            </w:r>
            <w:r w:rsidR="005E130C">
              <w:rPr>
                <w:rFonts w:ascii="Century Gothic" w:hAnsi="Century Gothic" w:cs="Arial"/>
                <w:sz w:val="18"/>
                <w:szCs w:val="18"/>
                <w:lang w:val="es-CR"/>
              </w:rPr>
              <w:t xml:space="preserve">174.359 </w:t>
            </w:r>
            <w:r w:rsidR="005E130C" w:rsidRPr="001A4269">
              <w:rPr>
                <w:rFonts w:ascii="Century Gothic" w:hAnsi="Century Gothic" w:cs="Arial"/>
                <w:sz w:val="18"/>
                <w:szCs w:val="18"/>
                <w:lang w:val="es-CR"/>
              </w:rPr>
              <w:t xml:space="preserve">millones, </w:t>
            </w:r>
            <w:r w:rsidR="005E130C">
              <w:rPr>
                <w:rFonts w:ascii="Century Gothic" w:hAnsi="Century Gothic" w:cs="Arial"/>
                <w:sz w:val="18"/>
                <w:szCs w:val="18"/>
                <w:lang w:val="es-CR"/>
              </w:rPr>
              <w:t>28,7</w:t>
            </w:r>
            <w:r w:rsidR="005E130C" w:rsidRPr="001A4269">
              <w:rPr>
                <w:rFonts w:ascii="Century Gothic" w:hAnsi="Century Gothic" w:cs="Arial"/>
                <w:sz w:val="18"/>
                <w:szCs w:val="18"/>
                <w:lang w:val="es-CR"/>
              </w:rPr>
              <w:t xml:space="preserve">% de ejecución y </w:t>
            </w:r>
            <w:r w:rsidR="005E130C">
              <w:rPr>
                <w:rFonts w:ascii="Century Gothic" w:hAnsi="Century Gothic" w:cs="Arial"/>
                <w:sz w:val="18"/>
                <w:szCs w:val="18"/>
                <w:lang w:val="es-CR"/>
              </w:rPr>
              <w:t>9,7</w:t>
            </w:r>
            <w:r w:rsidR="005E130C" w:rsidRPr="001A4269">
              <w:rPr>
                <w:rFonts w:ascii="Century Gothic" w:hAnsi="Century Gothic" w:cs="Arial"/>
                <w:sz w:val="18"/>
                <w:szCs w:val="18"/>
                <w:lang w:val="es-CR"/>
              </w:rPr>
              <w:t xml:space="preserve">% </w:t>
            </w:r>
            <w:r w:rsidR="005E130C">
              <w:rPr>
                <w:rFonts w:ascii="Century Gothic" w:hAnsi="Century Gothic" w:cs="Arial"/>
                <w:sz w:val="18"/>
                <w:szCs w:val="18"/>
                <w:lang w:val="es-CR"/>
              </w:rPr>
              <w:t>más</w:t>
            </w:r>
            <w:r w:rsidR="005E130C" w:rsidRPr="001A4269">
              <w:rPr>
                <w:rFonts w:ascii="Century Gothic" w:hAnsi="Century Gothic" w:cs="Arial"/>
                <w:sz w:val="18"/>
                <w:szCs w:val="18"/>
                <w:lang w:val="es-CR"/>
              </w:rPr>
              <w:t xml:space="preserve"> que el egreso ejecutado a junio de 2016.</w:t>
            </w:r>
          </w:p>
          <w:p w14:paraId="279DF350" w14:textId="77777777" w:rsidR="009F2E1D" w:rsidRPr="00710B29" w:rsidRDefault="00710B29" w:rsidP="00B71FA4">
            <w:pPr>
              <w:pStyle w:val="Prrafodelista"/>
              <w:numPr>
                <w:ilvl w:val="0"/>
                <w:numId w:val="1"/>
              </w:numPr>
              <w:rPr>
                <w:rFonts w:cs="Arial"/>
                <w:szCs w:val="18"/>
                <w:lang w:val="es-CR"/>
              </w:rPr>
            </w:pPr>
            <w:r>
              <w:rPr>
                <w:rFonts w:cs="Arial"/>
                <w:szCs w:val="18"/>
                <w:lang w:val="es-CR"/>
              </w:rPr>
              <w:t xml:space="preserve">Se da un </w:t>
            </w:r>
            <w:r w:rsidRPr="00710B29">
              <w:rPr>
                <w:rFonts w:cs="Arial"/>
                <w:szCs w:val="18"/>
                <w:lang w:val="es-CR"/>
              </w:rPr>
              <w:t>limi</w:t>
            </w:r>
            <w:r>
              <w:rPr>
                <w:rFonts w:cs="Arial"/>
                <w:szCs w:val="18"/>
                <w:lang w:val="es-CR"/>
              </w:rPr>
              <w:t>tado nivel de ejecución de los g</w:t>
            </w:r>
            <w:r w:rsidRPr="00710B29">
              <w:rPr>
                <w:rFonts w:cs="Arial"/>
                <w:szCs w:val="18"/>
                <w:lang w:val="es-CR"/>
              </w:rPr>
              <w:t>astos de capital (¢40</w:t>
            </w:r>
            <w:r w:rsidR="00CB7B17">
              <w:rPr>
                <w:rFonts w:cs="Arial"/>
                <w:szCs w:val="18"/>
                <w:lang w:val="es-CR"/>
              </w:rPr>
              <w:t>.</w:t>
            </w:r>
            <w:r w:rsidRPr="00710B29">
              <w:rPr>
                <w:rFonts w:cs="Arial"/>
                <w:szCs w:val="18"/>
                <w:lang w:val="es-CR"/>
              </w:rPr>
              <w:t>183 millones), equivalente al 16,0% de los gastos presupuestados en ese grupo</w:t>
            </w:r>
            <w:r w:rsidR="00B71FA4">
              <w:rPr>
                <w:rFonts w:cs="Arial"/>
                <w:szCs w:val="18"/>
                <w:lang w:val="es-CR"/>
              </w:rPr>
              <w:t>. Este</w:t>
            </w:r>
            <w:r w:rsidRPr="00710B29">
              <w:rPr>
                <w:rFonts w:cs="Arial"/>
                <w:szCs w:val="18"/>
                <w:lang w:val="es-CR"/>
              </w:rPr>
              <w:t xml:space="preserve"> es un tema que deben atender los jerarcas de los gobiernos locales, para que se incremente la ejecución financiera de los proyectos y obras que procuran el desarrollo local. </w:t>
            </w:r>
          </w:p>
        </w:tc>
      </w:tr>
    </w:tbl>
    <w:p w14:paraId="2586CE0F" w14:textId="77777777" w:rsidR="009F2E1D" w:rsidRPr="001A4269" w:rsidRDefault="009F2E1D" w:rsidP="009F2E1D">
      <w:pPr>
        <w:tabs>
          <w:tab w:val="left" w:pos="8460"/>
          <w:tab w:val="left" w:pos="9000"/>
        </w:tabs>
        <w:ind w:right="-160"/>
        <w:jc w:val="both"/>
        <w:rPr>
          <w:rFonts w:ascii="Century Gothic" w:hAnsi="Century Gothic"/>
          <w:sz w:val="18"/>
          <w:szCs w:val="18"/>
          <w:lang w:val="es-CR"/>
        </w:rPr>
      </w:pPr>
    </w:p>
    <w:p w14:paraId="3F9BE865" w14:textId="77777777" w:rsidR="009F2E1D" w:rsidRPr="001A4269" w:rsidRDefault="009F2E1D" w:rsidP="009F2E1D">
      <w:pPr>
        <w:tabs>
          <w:tab w:val="left" w:pos="8460"/>
          <w:tab w:val="left" w:pos="9000"/>
        </w:tabs>
        <w:ind w:right="-160"/>
        <w:jc w:val="both"/>
        <w:rPr>
          <w:rFonts w:ascii="Century Gothic" w:hAnsi="Century Gothic"/>
          <w:sz w:val="18"/>
          <w:szCs w:val="18"/>
          <w:lang w:val="es-CR"/>
        </w:rPr>
      </w:pPr>
      <w:r w:rsidRPr="001A4269">
        <w:rPr>
          <w:rFonts w:ascii="Century Gothic" w:hAnsi="Century Gothic"/>
          <w:sz w:val="18"/>
          <w:szCs w:val="18"/>
          <w:lang w:val="es-CR"/>
        </w:rPr>
        <w:t>Para mayor detalle del análisis de cada entidad pública, se puede revisar el documento completo, adjunto.</w:t>
      </w:r>
    </w:p>
    <w:p w14:paraId="5B2F4774" w14:textId="77777777" w:rsidR="00992A53" w:rsidRPr="001A4269" w:rsidRDefault="00992A53" w:rsidP="009F2E1D">
      <w:pPr>
        <w:rPr>
          <w:rFonts w:ascii="Century Gothic" w:hAnsi="Century Gothic"/>
          <w:sz w:val="18"/>
          <w:szCs w:val="18"/>
        </w:rPr>
      </w:pPr>
    </w:p>
    <w:sectPr w:rsidR="00992A53" w:rsidRPr="001A4269" w:rsidSect="007D21F4">
      <w:headerReference w:type="default" r:id="rId9"/>
      <w:footerReference w:type="even" r:id="rId10"/>
      <w:footerReference w:type="default" r:id="rId11"/>
      <w:headerReference w:type="first" r:id="rId12"/>
      <w:footerReference w:type="first" r:id="rId13"/>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680C5" w14:textId="77777777" w:rsidR="000A102F" w:rsidRDefault="000A102F" w:rsidP="00030520">
      <w:r>
        <w:separator/>
      </w:r>
    </w:p>
  </w:endnote>
  <w:endnote w:type="continuationSeparator" w:id="0">
    <w:p w14:paraId="6FCC01D8" w14:textId="77777777" w:rsidR="000A102F" w:rsidRDefault="000A102F" w:rsidP="0003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5014" w14:textId="77777777" w:rsidR="00C0081B" w:rsidRPr="00B72785" w:rsidRDefault="00C0081B" w:rsidP="00B72785">
    <w:pPr>
      <w:pStyle w:val="Piedepgina"/>
      <w:framePr w:wrap="around" w:vAnchor="text" w:hAnchor="page" w:x="6022" w:y="-79"/>
      <w:rPr>
        <w:rStyle w:val="Nmerodepgina"/>
        <w:rFonts w:ascii="Century Gothic" w:hAnsi="Century Gothic"/>
        <w:sz w:val="20"/>
        <w:szCs w:val="20"/>
      </w:rPr>
    </w:pPr>
    <w:r w:rsidRPr="00B72785">
      <w:rPr>
        <w:rStyle w:val="Nmerodepgina"/>
        <w:rFonts w:ascii="Century Gothic" w:hAnsi="Century Gothic"/>
        <w:sz w:val="20"/>
        <w:szCs w:val="20"/>
      </w:rPr>
      <w:fldChar w:fldCharType="begin"/>
    </w:r>
    <w:r w:rsidRPr="00B72785">
      <w:rPr>
        <w:rStyle w:val="Nmerodepgina"/>
        <w:rFonts w:ascii="Century Gothic" w:hAnsi="Century Gothic"/>
        <w:sz w:val="20"/>
        <w:szCs w:val="20"/>
      </w:rPr>
      <w:instrText xml:space="preserve">PAGE  </w:instrText>
    </w:r>
    <w:r w:rsidRPr="00B72785">
      <w:rPr>
        <w:rStyle w:val="Nmerodepgina"/>
        <w:rFonts w:ascii="Century Gothic" w:hAnsi="Century Gothic"/>
        <w:sz w:val="20"/>
        <w:szCs w:val="20"/>
      </w:rPr>
      <w:fldChar w:fldCharType="separate"/>
    </w:r>
    <w:r>
      <w:rPr>
        <w:rStyle w:val="Nmerodepgina"/>
        <w:rFonts w:ascii="Century Gothic" w:hAnsi="Century Gothic"/>
        <w:noProof/>
        <w:sz w:val="20"/>
        <w:szCs w:val="20"/>
      </w:rPr>
      <w:t>2</w:t>
    </w:r>
    <w:r w:rsidRPr="00B72785">
      <w:rPr>
        <w:rStyle w:val="Nmerodepgina"/>
        <w:rFonts w:ascii="Century Gothic" w:hAnsi="Century Gothic"/>
        <w:sz w:val="20"/>
        <w:szCs w:val="20"/>
      </w:rPr>
      <w:fldChar w:fldCharType="end"/>
    </w:r>
  </w:p>
  <w:p w14:paraId="50D6FA30" w14:textId="77777777" w:rsidR="00C0081B" w:rsidRDefault="00C008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D125" w14:textId="77777777" w:rsidR="00C0081B" w:rsidRPr="00942D97" w:rsidRDefault="00C0081B" w:rsidP="00E8400B">
    <w:pPr>
      <w:pStyle w:val="Piedepgina"/>
      <w:tabs>
        <w:tab w:val="clear" w:pos="8838"/>
        <w:tab w:val="left" w:pos="8280"/>
        <w:tab w:val="right" w:pos="9781"/>
      </w:tabs>
      <w:ind w:right="-943"/>
      <w:jc w:val="right"/>
      <w:rPr>
        <w:rFonts w:ascii="Century Gothic" w:hAnsi="Century Gothic"/>
        <w:b/>
        <w:color w:val="24397C"/>
        <w:sz w:val="14"/>
        <w:szCs w:val="14"/>
        <w:lang w:val="es-ES"/>
      </w:rPr>
    </w:pPr>
    <w:r w:rsidRPr="00942D97">
      <w:rPr>
        <w:rFonts w:ascii="Century Gothic" w:hAnsi="Century Gothic"/>
        <w:b/>
        <w:color w:val="24397C"/>
        <w:sz w:val="14"/>
        <w:szCs w:val="14"/>
        <w:lang w:val="es-ES"/>
      </w:rPr>
      <w:t>Contraloría General de la República</w:t>
    </w:r>
  </w:p>
  <w:p w14:paraId="25B54F5C" w14:textId="77777777" w:rsidR="00C0081B" w:rsidRPr="00942D97" w:rsidRDefault="00C0081B" w:rsidP="00E8400B">
    <w:pPr>
      <w:pStyle w:val="Piedepgina"/>
      <w:tabs>
        <w:tab w:val="clear" w:pos="8838"/>
        <w:tab w:val="left" w:pos="8280"/>
        <w:tab w:val="right" w:pos="9781"/>
      </w:tabs>
      <w:ind w:right="-943"/>
      <w:jc w:val="right"/>
      <w:rPr>
        <w:rFonts w:ascii="Century Gothic" w:hAnsi="Century Gothic"/>
        <w:color w:val="24397C"/>
        <w:sz w:val="14"/>
        <w:szCs w:val="14"/>
        <w:lang w:val="es-ES"/>
      </w:rPr>
    </w:pPr>
    <w:r w:rsidRPr="00942D97">
      <w:rPr>
        <w:rFonts w:ascii="Century Gothic" w:hAnsi="Century Gothic"/>
        <w:color w:val="24397C"/>
        <w:sz w:val="14"/>
        <w:szCs w:val="14"/>
        <w:lang w:val="es-ES"/>
      </w:rPr>
      <w:t>T: (506) 2501-8000, F: (506) 2501-8100   C: contraloria.general@cgr.go.cr</w:t>
    </w:r>
  </w:p>
  <w:p w14:paraId="37B24ADF" w14:textId="77777777" w:rsidR="00C0081B" w:rsidRPr="00942D97" w:rsidRDefault="00C0081B" w:rsidP="00E8400B">
    <w:pPr>
      <w:pStyle w:val="Piedepgina"/>
      <w:tabs>
        <w:tab w:val="clear" w:pos="8838"/>
        <w:tab w:val="left" w:pos="8280"/>
        <w:tab w:val="right" w:pos="9781"/>
      </w:tabs>
      <w:ind w:right="-943"/>
      <w:jc w:val="right"/>
      <w:rPr>
        <w:rFonts w:ascii="Century Gothic" w:hAnsi="Century Gothic"/>
        <w:color w:val="24397C"/>
        <w:sz w:val="14"/>
        <w:szCs w:val="14"/>
        <w:lang w:val="es-ES"/>
      </w:rPr>
    </w:pPr>
    <w:r w:rsidRPr="00942D97">
      <w:rPr>
        <w:rFonts w:ascii="Century Gothic" w:hAnsi="Century Gothic"/>
        <w:color w:val="24397C"/>
        <w:sz w:val="14"/>
        <w:szCs w:val="14"/>
        <w:lang w:val="es-ES"/>
      </w:rPr>
      <w:t xml:space="preserve"> </w:t>
    </w:r>
    <w:hyperlink r:id="rId1" w:history="1">
      <w:r w:rsidRPr="00942D97">
        <w:rPr>
          <w:rStyle w:val="Hipervnculo"/>
          <w:rFonts w:ascii="Century Gothic" w:hAnsi="Century Gothic"/>
          <w:sz w:val="14"/>
          <w:szCs w:val="14"/>
          <w:lang w:val="es-ES"/>
        </w:rPr>
        <w:t>http://www.cgr.go.cr/</w:t>
      </w:r>
    </w:hyperlink>
    <w:r w:rsidRPr="00942D97">
      <w:rPr>
        <w:rFonts w:ascii="Century Gothic" w:hAnsi="Century Gothic"/>
        <w:color w:val="24397C"/>
        <w:sz w:val="14"/>
        <w:szCs w:val="14"/>
        <w:lang w:val="es-ES"/>
      </w:rPr>
      <w:t xml:space="preserve">   Apdo. 1179-1000, San José, Costa Rica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4B42" w14:textId="77777777" w:rsidR="00C0081B" w:rsidRPr="00942D97" w:rsidRDefault="00C0081B" w:rsidP="00EB1159">
    <w:pPr>
      <w:pStyle w:val="Piedepgina"/>
      <w:tabs>
        <w:tab w:val="clear" w:pos="8838"/>
        <w:tab w:val="left" w:pos="8280"/>
        <w:tab w:val="right" w:pos="9781"/>
      </w:tabs>
      <w:ind w:right="-943"/>
      <w:jc w:val="right"/>
      <w:rPr>
        <w:rFonts w:ascii="Century Gothic" w:hAnsi="Century Gothic"/>
        <w:b/>
        <w:color w:val="24397C"/>
        <w:sz w:val="14"/>
        <w:szCs w:val="14"/>
        <w:lang w:val="es-ES"/>
      </w:rPr>
    </w:pPr>
    <w:r w:rsidRPr="00942D97">
      <w:rPr>
        <w:rFonts w:ascii="Century Gothic" w:hAnsi="Century Gothic"/>
        <w:b/>
        <w:color w:val="24397C"/>
        <w:sz w:val="14"/>
        <w:szCs w:val="14"/>
        <w:lang w:val="es-ES"/>
      </w:rPr>
      <w:t>Contraloría General de la República</w:t>
    </w:r>
  </w:p>
  <w:p w14:paraId="22D0CD50" w14:textId="77777777" w:rsidR="00C0081B" w:rsidRPr="00942D97" w:rsidRDefault="00C0081B" w:rsidP="00EB1159">
    <w:pPr>
      <w:pStyle w:val="Piedepgina"/>
      <w:tabs>
        <w:tab w:val="clear" w:pos="8838"/>
        <w:tab w:val="left" w:pos="8280"/>
        <w:tab w:val="right" w:pos="9781"/>
      </w:tabs>
      <w:ind w:right="-943"/>
      <w:jc w:val="right"/>
      <w:rPr>
        <w:rFonts w:ascii="Century Gothic" w:hAnsi="Century Gothic"/>
        <w:color w:val="24397C"/>
        <w:sz w:val="14"/>
        <w:szCs w:val="14"/>
        <w:lang w:val="es-ES"/>
      </w:rPr>
    </w:pPr>
    <w:r w:rsidRPr="00942D97">
      <w:rPr>
        <w:rFonts w:ascii="Century Gothic" w:hAnsi="Century Gothic"/>
        <w:color w:val="24397C"/>
        <w:sz w:val="14"/>
        <w:szCs w:val="14"/>
        <w:lang w:val="es-ES"/>
      </w:rPr>
      <w:t>T: (506) 2501-8000, F: (506) 2501-8100   C: contraloria.general@cgr.go.cr</w:t>
    </w:r>
  </w:p>
  <w:p w14:paraId="3F614197" w14:textId="77777777" w:rsidR="00C0081B" w:rsidRPr="00EB1159" w:rsidRDefault="00C0081B" w:rsidP="00EB1159">
    <w:pPr>
      <w:pStyle w:val="Piedepgina"/>
      <w:tabs>
        <w:tab w:val="clear" w:pos="8838"/>
        <w:tab w:val="left" w:pos="8280"/>
        <w:tab w:val="right" w:pos="9781"/>
      </w:tabs>
      <w:ind w:right="-943"/>
      <w:jc w:val="right"/>
      <w:rPr>
        <w:rFonts w:ascii="Century Gothic" w:hAnsi="Century Gothic"/>
        <w:color w:val="24397C"/>
        <w:sz w:val="14"/>
        <w:szCs w:val="14"/>
        <w:lang w:val="es-ES"/>
      </w:rPr>
    </w:pPr>
    <w:r w:rsidRPr="00942D97">
      <w:rPr>
        <w:rFonts w:ascii="Century Gothic" w:hAnsi="Century Gothic"/>
        <w:color w:val="24397C"/>
        <w:sz w:val="14"/>
        <w:szCs w:val="14"/>
        <w:lang w:val="es-ES"/>
      </w:rPr>
      <w:t xml:space="preserve"> </w:t>
    </w:r>
    <w:hyperlink r:id="rId1" w:history="1">
      <w:r w:rsidRPr="00942D97">
        <w:rPr>
          <w:rStyle w:val="Hipervnculo"/>
          <w:rFonts w:ascii="Century Gothic" w:hAnsi="Century Gothic"/>
          <w:sz w:val="14"/>
          <w:szCs w:val="14"/>
          <w:lang w:val="es-ES"/>
        </w:rPr>
        <w:t>http://www.cgr.go.cr/</w:t>
      </w:r>
    </w:hyperlink>
    <w:r w:rsidRPr="00942D97">
      <w:rPr>
        <w:rFonts w:ascii="Century Gothic" w:hAnsi="Century Gothic"/>
        <w:color w:val="24397C"/>
        <w:sz w:val="14"/>
        <w:szCs w:val="14"/>
        <w:lang w:val="es-ES"/>
      </w:rPr>
      <w:t xml:space="preserve">   Apdo. 1179-1000, San José, Costa 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60314" w14:textId="77777777" w:rsidR="000A102F" w:rsidRDefault="000A102F" w:rsidP="00030520">
      <w:r>
        <w:separator/>
      </w:r>
    </w:p>
  </w:footnote>
  <w:footnote w:type="continuationSeparator" w:id="0">
    <w:p w14:paraId="2F278CDA" w14:textId="77777777" w:rsidR="000A102F" w:rsidRDefault="000A102F" w:rsidP="0003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0BB9" w14:textId="77777777" w:rsidR="00C0081B" w:rsidRPr="00910AD0" w:rsidRDefault="00C0081B" w:rsidP="00910AD0">
    <w:pPr>
      <w:pStyle w:val="Encabezado"/>
      <w:tabs>
        <w:tab w:val="clear" w:pos="8838"/>
        <w:tab w:val="right" w:pos="9781"/>
      </w:tabs>
      <w:ind w:left="-900" w:right="-943"/>
      <w:jc w:val="right"/>
      <w:rPr>
        <w:rFonts w:ascii="Century Gothic" w:hAnsi="Century Gothic"/>
        <w:sz w:val="18"/>
        <w:szCs w:val="18"/>
        <w:lang w:val="es-ES"/>
      </w:rPr>
    </w:pPr>
    <w:r w:rsidRPr="00910AD0">
      <w:rPr>
        <w:noProof/>
        <w:sz w:val="18"/>
        <w:szCs w:val="18"/>
        <w:lang w:val="es-CR" w:eastAsia="es-CR"/>
      </w:rPr>
      <w:drawing>
        <wp:anchor distT="0" distB="0" distL="114300" distR="114300" simplePos="0" relativeHeight="251659264" behindDoc="1" locked="0" layoutInCell="1" allowOverlap="1" wp14:anchorId="52F56C62" wp14:editId="2C4BCBD0">
          <wp:simplePos x="0" y="0"/>
          <wp:positionH relativeFrom="column">
            <wp:posOffset>-1080135</wp:posOffset>
          </wp:positionH>
          <wp:positionV relativeFrom="paragraph">
            <wp:posOffset>-464185</wp:posOffset>
          </wp:positionV>
          <wp:extent cx="2009775" cy="914400"/>
          <wp:effectExtent l="0" t="0" r="0" b="0"/>
          <wp:wrapThrough wrapText="bothSides">
            <wp:wrapPolygon edited="0">
              <wp:start x="0" y="0"/>
              <wp:lineTo x="0" y="21000"/>
              <wp:lineTo x="21293" y="21000"/>
              <wp:lineTo x="21293" y="0"/>
              <wp:lineTo x="0" y="0"/>
            </wp:wrapPolygon>
          </wp:wrapThrough>
          <wp:docPr id="3" name="Imagen 3"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anchor>
      </w:drawing>
    </w:r>
    <w:r w:rsidRPr="00910AD0">
      <w:rPr>
        <w:rFonts w:ascii="Century Gothic" w:hAnsi="Century Gothic"/>
        <w:sz w:val="18"/>
        <w:szCs w:val="18"/>
        <w:lang w:val="es-ES"/>
      </w:rPr>
      <w:t xml:space="preserve"> </w:t>
    </w:r>
  </w:p>
  <w:p w14:paraId="4CD48A8E" w14:textId="77777777" w:rsidR="00C0081B" w:rsidRPr="007D6FC3" w:rsidRDefault="00C0081B" w:rsidP="00910AD0">
    <w:pPr>
      <w:pStyle w:val="Encabezado"/>
      <w:tabs>
        <w:tab w:val="clear" w:pos="8838"/>
        <w:tab w:val="right" w:pos="9781"/>
      </w:tabs>
      <w:ind w:left="-900" w:right="-943"/>
      <w:jc w:val="right"/>
      <w:rPr>
        <w:rFonts w:ascii="Century Gothic" w:hAnsi="Century Gothic"/>
        <w:sz w:val="18"/>
        <w:szCs w:val="18"/>
        <w:lang w:val="es-ES"/>
      </w:rPr>
    </w:pPr>
  </w:p>
  <w:p w14:paraId="10D434F8" w14:textId="77777777" w:rsidR="00C0081B" w:rsidRPr="009F2E1D" w:rsidRDefault="00C0081B" w:rsidP="009F2E1D">
    <w:pPr>
      <w:pStyle w:val="Encabezado"/>
      <w:pBdr>
        <w:bottom w:val="single" w:sz="4" w:space="1" w:color="auto"/>
      </w:pBdr>
      <w:tabs>
        <w:tab w:val="clear" w:pos="8838"/>
        <w:tab w:val="right" w:pos="9781"/>
      </w:tabs>
      <w:ind w:left="-900" w:right="-943"/>
      <w:jc w:val="right"/>
      <w:rPr>
        <w:rFonts w:ascii="Century Gothic" w:hAnsi="Century Gothic"/>
        <w:sz w:val="22"/>
        <w:szCs w:val="22"/>
        <w:lang w:val="es-ES"/>
      </w:rPr>
    </w:pPr>
    <w:r w:rsidRPr="009F2E1D">
      <w:rPr>
        <w:rFonts w:ascii="Century Gothic" w:hAnsi="Century Gothic"/>
        <w:sz w:val="22"/>
        <w:szCs w:val="22"/>
        <w:lang w:val="es-ES"/>
      </w:rPr>
      <w:t>Unidad de Prensa y Comunicaciones</w:t>
    </w:r>
  </w:p>
  <w:p w14:paraId="3800B73B" w14:textId="77777777" w:rsidR="00C0081B" w:rsidRDefault="00C0081B" w:rsidP="00A52244">
    <w:pPr>
      <w:pStyle w:val="Encabezado"/>
      <w:tabs>
        <w:tab w:val="clear" w:pos="8838"/>
        <w:tab w:val="right" w:pos="9781"/>
      </w:tabs>
      <w:ind w:left="-900" w:right="-943"/>
      <w:jc w:val="right"/>
      <w:rPr>
        <w:rFonts w:ascii="Century Gothic" w:hAnsi="Century Gothic"/>
        <w:sz w:val="20"/>
        <w:szCs w:val="20"/>
        <w:lang w:val="es-ES"/>
      </w:rPr>
    </w:pPr>
  </w:p>
  <w:p w14:paraId="0E822190" w14:textId="77777777" w:rsidR="00C0081B" w:rsidRPr="00F459F9" w:rsidRDefault="00C0081B" w:rsidP="00992A53">
    <w:pPr>
      <w:pStyle w:val="Piedepgina"/>
      <w:framePr w:wrap="around" w:vAnchor="text" w:hAnchor="page" w:x="6022" w:y="-5"/>
      <w:rPr>
        <w:rStyle w:val="Nmerodepgina"/>
        <w:rFonts w:ascii="Century Gothic" w:hAnsi="Century Gothic"/>
        <w:sz w:val="20"/>
        <w:szCs w:val="20"/>
        <w:lang w:val="es-CR"/>
      </w:rPr>
    </w:pPr>
    <w:r w:rsidRPr="00B72785">
      <w:rPr>
        <w:rStyle w:val="Nmerodepgina"/>
        <w:rFonts w:ascii="Century Gothic" w:hAnsi="Century Gothic"/>
        <w:sz w:val="20"/>
        <w:szCs w:val="20"/>
      </w:rPr>
      <w:fldChar w:fldCharType="begin"/>
    </w:r>
    <w:r w:rsidRPr="00F459F9">
      <w:rPr>
        <w:rStyle w:val="Nmerodepgina"/>
        <w:rFonts w:ascii="Century Gothic" w:hAnsi="Century Gothic"/>
        <w:sz w:val="20"/>
        <w:szCs w:val="20"/>
        <w:lang w:val="es-CR"/>
      </w:rPr>
      <w:instrText xml:space="preserve">PAGE  </w:instrText>
    </w:r>
    <w:r w:rsidRPr="00B72785">
      <w:rPr>
        <w:rStyle w:val="Nmerodepgina"/>
        <w:rFonts w:ascii="Century Gothic" w:hAnsi="Century Gothic"/>
        <w:sz w:val="20"/>
        <w:szCs w:val="20"/>
      </w:rPr>
      <w:fldChar w:fldCharType="separate"/>
    </w:r>
    <w:r w:rsidR="00A512AB">
      <w:rPr>
        <w:rStyle w:val="Nmerodepgina"/>
        <w:rFonts w:ascii="Century Gothic" w:hAnsi="Century Gothic"/>
        <w:noProof/>
        <w:sz w:val="20"/>
        <w:szCs w:val="20"/>
        <w:lang w:val="es-CR"/>
      </w:rPr>
      <w:t>2</w:t>
    </w:r>
    <w:r w:rsidRPr="00B72785">
      <w:rPr>
        <w:rStyle w:val="Nmerodepgina"/>
        <w:rFonts w:ascii="Century Gothic" w:hAnsi="Century Gothic"/>
        <w:sz w:val="20"/>
        <w:szCs w:val="20"/>
      </w:rPr>
      <w:fldChar w:fldCharType="end"/>
    </w:r>
  </w:p>
  <w:p w14:paraId="314E3D99" w14:textId="77777777" w:rsidR="00C0081B" w:rsidRDefault="00C0081B" w:rsidP="00204441">
    <w:pPr>
      <w:pStyle w:val="Encabezado"/>
      <w:tabs>
        <w:tab w:val="center" w:pos="4500"/>
        <w:tab w:val="right" w:pos="9360"/>
      </w:tabs>
      <w:rPr>
        <w:rFonts w:ascii="Century Gothic" w:hAnsi="Century Gothic" w:cs="Arial"/>
        <w:sz w:val="20"/>
        <w:szCs w:val="20"/>
        <w:lang w:val="es-CR"/>
      </w:rPr>
    </w:pPr>
    <w:r w:rsidRPr="00204441">
      <w:rPr>
        <w:rFonts w:ascii="Century Gothic" w:hAnsi="Century Gothic" w:cs="Arial"/>
        <w:sz w:val="20"/>
        <w:szCs w:val="20"/>
        <w:lang w:val="es-CR"/>
      </w:rPr>
      <w:tab/>
    </w:r>
    <w:r>
      <w:rPr>
        <w:rFonts w:ascii="Century Gothic" w:hAnsi="Century Gothic" w:cs="Arial"/>
        <w:sz w:val="20"/>
        <w:szCs w:val="20"/>
        <w:lang w:val="es-CR"/>
      </w:rPr>
      <w:tab/>
    </w:r>
    <w:r w:rsidRPr="00204441">
      <w:rPr>
        <w:rFonts w:ascii="Century Gothic" w:hAnsi="Century Gothic" w:cs="Arial"/>
        <w:sz w:val="20"/>
        <w:szCs w:val="20"/>
        <w:lang w:val="es-CR"/>
      </w:rPr>
      <w:tab/>
    </w:r>
  </w:p>
  <w:p w14:paraId="219DD779" w14:textId="77777777" w:rsidR="00C0081B" w:rsidRPr="00204441" w:rsidRDefault="00C0081B" w:rsidP="00204441">
    <w:pPr>
      <w:pStyle w:val="Encabezado"/>
      <w:tabs>
        <w:tab w:val="center" w:pos="4500"/>
        <w:tab w:val="right" w:pos="9360"/>
      </w:tabs>
      <w:rPr>
        <w:rFonts w:ascii="Century Gothic" w:hAnsi="Century Gothic" w:cs="Arial"/>
        <w:sz w:val="20"/>
        <w:szCs w:val="20"/>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DF19" w14:textId="77777777" w:rsidR="00C0081B" w:rsidRPr="00910AD0" w:rsidRDefault="00C0081B" w:rsidP="00EB1159">
    <w:pPr>
      <w:pStyle w:val="Encabezado"/>
      <w:tabs>
        <w:tab w:val="clear" w:pos="8838"/>
        <w:tab w:val="right" w:pos="9781"/>
      </w:tabs>
      <w:ind w:left="-900" w:right="-943"/>
      <w:jc w:val="right"/>
      <w:rPr>
        <w:rFonts w:ascii="Century Gothic" w:hAnsi="Century Gothic"/>
        <w:sz w:val="18"/>
        <w:szCs w:val="18"/>
        <w:lang w:val="es-ES"/>
      </w:rPr>
    </w:pPr>
    <w:r w:rsidRPr="00910AD0">
      <w:rPr>
        <w:noProof/>
        <w:sz w:val="18"/>
        <w:szCs w:val="18"/>
        <w:lang w:val="es-CR" w:eastAsia="es-CR"/>
      </w:rPr>
      <w:drawing>
        <wp:anchor distT="0" distB="0" distL="114300" distR="114300" simplePos="0" relativeHeight="251661312" behindDoc="1" locked="0" layoutInCell="1" allowOverlap="1" wp14:anchorId="72D6A6BA" wp14:editId="2FC7284E">
          <wp:simplePos x="0" y="0"/>
          <wp:positionH relativeFrom="column">
            <wp:posOffset>-1080135</wp:posOffset>
          </wp:positionH>
          <wp:positionV relativeFrom="paragraph">
            <wp:posOffset>-464185</wp:posOffset>
          </wp:positionV>
          <wp:extent cx="2009775" cy="914400"/>
          <wp:effectExtent l="0" t="0" r="0" b="0"/>
          <wp:wrapThrough wrapText="bothSides">
            <wp:wrapPolygon edited="0">
              <wp:start x="0" y="0"/>
              <wp:lineTo x="0" y="21000"/>
              <wp:lineTo x="21293" y="21000"/>
              <wp:lineTo x="21293" y="0"/>
              <wp:lineTo x="0" y="0"/>
            </wp:wrapPolygon>
          </wp:wrapThrough>
          <wp:docPr id="1" name="Imagen 1"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anchor>
      </w:drawing>
    </w:r>
    <w:r w:rsidRPr="00910AD0">
      <w:rPr>
        <w:rFonts w:ascii="Century Gothic" w:hAnsi="Century Gothic"/>
        <w:sz w:val="18"/>
        <w:szCs w:val="18"/>
        <w:lang w:val="es-ES"/>
      </w:rPr>
      <w:t xml:space="preserve"> </w:t>
    </w:r>
  </w:p>
  <w:p w14:paraId="07F6A418" w14:textId="77777777" w:rsidR="00C0081B" w:rsidRPr="00EB1159" w:rsidRDefault="00C0081B" w:rsidP="00EB11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70B"/>
    <w:multiLevelType w:val="hybridMultilevel"/>
    <w:tmpl w:val="221254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31EE418A"/>
    <w:multiLevelType w:val="hybridMultilevel"/>
    <w:tmpl w:val="21529EF6"/>
    <w:lvl w:ilvl="0" w:tplc="A95EF408">
      <w:start w:val="1"/>
      <w:numFmt w:val="bullet"/>
      <w:lvlText w:val=""/>
      <w:lvlJc w:val="left"/>
      <w:pPr>
        <w:tabs>
          <w:tab w:val="num" w:pos="284"/>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3A8B233D"/>
    <w:multiLevelType w:val="hybridMultilevel"/>
    <w:tmpl w:val="0FF0C5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74B4021"/>
    <w:multiLevelType w:val="multilevel"/>
    <w:tmpl w:val="D02CC5F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nsid w:val="48937F55"/>
    <w:multiLevelType w:val="hybridMultilevel"/>
    <w:tmpl w:val="67EE84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4ABC58C6"/>
    <w:multiLevelType w:val="hybridMultilevel"/>
    <w:tmpl w:val="D862B582"/>
    <w:lvl w:ilvl="0" w:tplc="A95EF408">
      <w:start w:val="1"/>
      <w:numFmt w:val="bullet"/>
      <w:lvlText w:val=""/>
      <w:lvlJc w:val="left"/>
      <w:pPr>
        <w:tabs>
          <w:tab w:val="num" w:pos="284"/>
        </w:tabs>
        <w:ind w:left="284" w:hanging="284"/>
      </w:pPr>
      <w:rPr>
        <w:rFonts w:ascii="Symbol" w:hAnsi="Symbol" w:hint="default"/>
      </w:rPr>
    </w:lvl>
    <w:lvl w:ilvl="1" w:tplc="E6E69FFA">
      <w:start w:val="1"/>
      <w:numFmt w:val="bullet"/>
      <w:lvlText w:val="o"/>
      <w:lvlJc w:val="left"/>
      <w:pPr>
        <w:tabs>
          <w:tab w:val="num" w:pos="284"/>
        </w:tabs>
        <w:ind w:left="567" w:hanging="283"/>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557F3F3A"/>
    <w:multiLevelType w:val="multilevel"/>
    <w:tmpl w:val="DDC6B9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682279E"/>
    <w:multiLevelType w:val="hybridMultilevel"/>
    <w:tmpl w:val="3EF486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20"/>
    <w:rsid w:val="00030520"/>
    <w:rsid w:val="00063146"/>
    <w:rsid w:val="00071F2D"/>
    <w:rsid w:val="000861C2"/>
    <w:rsid w:val="000864C1"/>
    <w:rsid w:val="000A102F"/>
    <w:rsid w:val="000B2034"/>
    <w:rsid w:val="000F0096"/>
    <w:rsid w:val="00112AD9"/>
    <w:rsid w:val="001302D4"/>
    <w:rsid w:val="001723FB"/>
    <w:rsid w:val="00177648"/>
    <w:rsid w:val="001A4269"/>
    <w:rsid w:val="001A7227"/>
    <w:rsid w:val="001C4228"/>
    <w:rsid w:val="001E2FE1"/>
    <w:rsid w:val="00204441"/>
    <w:rsid w:val="00235B13"/>
    <w:rsid w:val="002B2D8C"/>
    <w:rsid w:val="00331EC3"/>
    <w:rsid w:val="0035429A"/>
    <w:rsid w:val="00356EA6"/>
    <w:rsid w:val="00394C57"/>
    <w:rsid w:val="003A64E1"/>
    <w:rsid w:val="003C1837"/>
    <w:rsid w:val="003F5830"/>
    <w:rsid w:val="00400C46"/>
    <w:rsid w:val="00443839"/>
    <w:rsid w:val="004561CE"/>
    <w:rsid w:val="004A1831"/>
    <w:rsid w:val="004D35D4"/>
    <w:rsid w:val="004E0AC8"/>
    <w:rsid w:val="004F732F"/>
    <w:rsid w:val="005323EB"/>
    <w:rsid w:val="00591D4F"/>
    <w:rsid w:val="005C4F4D"/>
    <w:rsid w:val="005E130C"/>
    <w:rsid w:val="005E4D8A"/>
    <w:rsid w:val="005F2C76"/>
    <w:rsid w:val="005F38E9"/>
    <w:rsid w:val="0061783E"/>
    <w:rsid w:val="00625E01"/>
    <w:rsid w:val="00655A11"/>
    <w:rsid w:val="00684C48"/>
    <w:rsid w:val="0069601B"/>
    <w:rsid w:val="00696616"/>
    <w:rsid w:val="006A0EF2"/>
    <w:rsid w:val="006A66E2"/>
    <w:rsid w:val="006B071D"/>
    <w:rsid w:val="006B2DE6"/>
    <w:rsid w:val="006B77ED"/>
    <w:rsid w:val="006D1297"/>
    <w:rsid w:val="006E7049"/>
    <w:rsid w:val="00700A6E"/>
    <w:rsid w:val="00710B29"/>
    <w:rsid w:val="007437FD"/>
    <w:rsid w:val="00745BD9"/>
    <w:rsid w:val="00794584"/>
    <w:rsid w:val="007A54AB"/>
    <w:rsid w:val="007C4F4E"/>
    <w:rsid w:val="007D21F4"/>
    <w:rsid w:val="007D6FC3"/>
    <w:rsid w:val="007E733E"/>
    <w:rsid w:val="00804BB4"/>
    <w:rsid w:val="008100AA"/>
    <w:rsid w:val="00814A7C"/>
    <w:rsid w:val="008442DD"/>
    <w:rsid w:val="008461DB"/>
    <w:rsid w:val="00852DF4"/>
    <w:rsid w:val="00857968"/>
    <w:rsid w:val="008770E9"/>
    <w:rsid w:val="0089462C"/>
    <w:rsid w:val="008C6D49"/>
    <w:rsid w:val="008D36F9"/>
    <w:rsid w:val="00910AD0"/>
    <w:rsid w:val="00942D97"/>
    <w:rsid w:val="00947C26"/>
    <w:rsid w:val="00973EB6"/>
    <w:rsid w:val="00980535"/>
    <w:rsid w:val="00992A53"/>
    <w:rsid w:val="00993267"/>
    <w:rsid w:val="009A44A8"/>
    <w:rsid w:val="009C1B26"/>
    <w:rsid w:val="009D7ACB"/>
    <w:rsid w:val="009F2E1D"/>
    <w:rsid w:val="00A04FF3"/>
    <w:rsid w:val="00A21964"/>
    <w:rsid w:val="00A50871"/>
    <w:rsid w:val="00A512AB"/>
    <w:rsid w:val="00A52244"/>
    <w:rsid w:val="00A60CCA"/>
    <w:rsid w:val="00AC6542"/>
    <w:rsid w:val="00AE195A"/>
    <w:rsid w:val="00B03D87"/>
    <w:rsid w:val="00B65E57"/>
    <w:rsid w:val="00B705E8"/>
    <w:rsid w:val="00B71FA4"/>
    <w:rsid w:val="00B72785"/>
    <w:rsid w:val="00B9297E"/>
    <w:rsid w:val="00BF2F1A"/>
    <w:rsid w:val="00C0081B"/>
    <w:rsid w:val="00C12474"/>
    <w:rsid w:val="00C4595C"/>
    <w:rsid w:val="00C7493C"/>
    <w:rsid w:val="00CA3735"/>
    <w:rsid w:val="00CA6ED1"/>
    <w:rsid w:val="00CB7B17"/>
    <w:rsid w:val="00CC0DAD"/>
    <w:rsid w:val="00CC1C78"/>
    <w:rsid w:val="00CF06F3"/>
    <w:rsid w:val="00D12E35"/>
    <w:rsid w:val="00D414F6"/>
    <w:rsid w:val="00D72085"/>
    <w:rsid w:val="00DB5234"/>
    <w:rsid w:val="00E003BA"/>
    <w:rsid w:val="00E44236"/>
    <w:rsid w:val="00E8400B"/>
    <w:rsid w:val="00EB1159"/>
    <w:rsid w:val="00EB7093"/>
    <w:rsid w:val="00F104E6"/>
    <w:rsid w:val="00F1349C"/>
    <w:rsid w:val="00F36552"/>
    <w:rsid w:val="00F43491"/>
    <w:rsid w:val="00F459F9"/>
    <w:rsid w:val="00FE39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74"/>
    <w:rPr>
      <w:rFonts w:ascii="Times New Roman" w:eastAsia="Times New Roman" w:hAnsi="Times New Roman" w:cs="Times New Roman"/>
      <w:sz w:val="20"/>
      <w:szCs w:val="20"/>
      <w:lang w:val="es-ES_tradnl"/>
    </w:rPr>
  </w:style>
  <w:style w:type="paragraph" w:styleId="Ttulo1">
    <w:name w:val="heading 1"/>
    <w:basedOn w:val="Normal"/>
    <w:next w:val="Normal"/>
    <w:link w:val="Ttulo1Car"/>
    <w:autoRedefine/>
    <w:qFormat/>
    <w:rsid w:val="00443839"/>
    <w:pPr>
      <w:keepNext/>
      <w:numPr>
        <w:numId w:val="6"/>
      </w:numPr>
      <w:pBdr>
        <w:bottom w:val="single" w:sz="12" w:space="1" w:color="auto"/>
      </w:pBdr>
      <w:jc w:val="both"/>
      <w:outlineLvl w:val="0"/>
    </w:pPr>
    <w:rPr>
      <w:rFonts w:ascii="Century Gothic" w:hAnsi="Century Gothic" w:cs="Arial"/>
      <w:b/>
      <w:bCs/>
      <w:kern w:val="32"/>
      <w:sz w:val="28"/>
      <w:lang w:val="es-ES"/>
    </w:rPr>
  </w:style>
  <w:style w:type="paragraph" w:styleId="Ttulo2">
    <w:name w:val="heading 2"/>
    <w:basedOn w:val="Normal"/>
    <w:next w:val="Normal"/>
    <w:link w:val="Ttulo2Car"/>
    <w:autoRedefine/>
    <w:uiPriority w:val="99"/>
    <w:qFormat/>
    <w:rsid w:val="00443839"/>
    <w:pPr>
      <w:keepNext/>
      <w:numPr>
        <w:ilvl w:val="1"/>
        <w:numId w:val="6"/>
      </w:numPr>
      <w:pBdr>
        <w:bottom w:val="double" w:sz="4" w:space="1" w:color="auto"/>
      </w:pBdr>
      <w:tabs>
        <w:tab w:val="left" w:pos="851"/>
      </w:tabs>
      <w:jc w:val="both"/>
      <w:outlineLvl w:val="1"/>
    </w:pPr>
    <w:rPr>
      <w:rFonts w:ascii="Century Gothic" w:hAnsi="Century Gothic"/>
      <w:b/>
      <w:bCs/>
      <w:iCs/>
      <w:sz w:val="24"/>
      <w:lang w:val="es-CR"/>
    </w:rPr>
  </w:style>
  <w:style w:type="paragraph" w:styleId="Ttulo3">
    <w:name w:val="heading 3"/>
    <w:basedOn w:val="Normal"/>
    <w:next w:val="Normal"/>
    <w:link w:val="Ttulo3Car"/>
    <w:autoRedefine/>
    <w:qFormat/>
    <w:rsid w:val="00443839"/>
    <w:pPr>
      <w:keepNext/>
      <w:numPr>
        <w:ilvl w:val="2"/>
        <w:numId w:val="6"/>
      </w:numPr>
      <w:tabs>
        <w:tab w:val="left" w:pos="567"/>
      </w:tabs>
      <w:outlineLvl w:val="2"/>
    </w:pPr>
    <w:rPr>
      <w:rFonts w:asciiTheme="minorHAnsi" w:hAnsiTheme="minorHAnsi"/>
      <w:b/>
      <w:bCs/>
    </w:rPr>
  </w:style>
  <w:style w:type="paragraph" w:styleId="Ttulo4">
    <w:name w:val="heading 4"/>
    <w:basedOn w:val="Normal"/>
    <w:next w:val="Normal"/>
    <w:link w:val="Ttulo4Car"/>
    <w:autoRedefine/>
    <w:qFormat/>
    <w:rsid w:val="00443839"/>
    <w:pPr>
      <w:keepNext/>
      <w:keepLines/>
      <w:numPr>
        <w:ilvl w:val="3"/>
        <w:numId w:val="6"/>
      </w:numPr>
      <w:tabs>
        <w:tab w:val="left" w:pos="1134"/>
      </w:tabs>
      <w:spacing w:before="200" w:line="276" w:lineRule="auto"/>
      <w:jc w:val="both"/>
      <w:outlineLvl w:val="3"/>
    </w:pPr>
    <w:rPr>
      <w:rFonts w:ascii="Century Gothic" w:hAnsi="Century Gothic"/>
      <w:b/>
      <w:bCs/>
      <w:lang w:val="es-CR" w:eastAsia="es-CR"/>
    </w:rPr>
  </w:style>
  <w:style w:type="paragraph" w:styleId="Ttulo5">
    <w:name w:val="heading 5"/>
    <w:basedOn w:val="Normal"/>
    <w:next w:val="Normal"/>
    <w:link w:val="Ttulo5Car"/>
    <w:qFormat/>
    <w:rsid w:val="00443839"/>
    <w:pPr>
      <w:numPr>
        <w:ilvl w:val="4"/>
        <w:numId w:val="6"/>
      </w:numPr>
      <w:spacing w:before="240" w:after="60"/>
      <w:jc w:val="both"/>
      <w:outlineLvl w:val="4"/>
    </w:pPr>
    <w:rPr>
      <w:rFonts w:ascii="Century Gothic" w:hAnsi="Century Gothic"/>
      <w:b/>
      <w:bCs/>
      <w:i/>
      <w:iCs/>
      <w:sz w:val="26"/>
      <w:szCs w:val="26"/>
      <w:lang w:val="es-ES"/>
    </w:rPr>
  </w:style>
  <w:style w:type="paragraph" w:styleId="Ttulo6">
    <w:name w:val="heading 6"/>
    <w:basedOn w:val="Normal"/>
    <w:next w:val="Normal"/>
    <w:link w:val="Ttulo6Car"/>
    <w:qFormat/>
    <w:rsid w:val="00443839"/>
    <w:pPr>
      <w:numPr>
        <w:ilvl w:val="5"/>
        <w:numId w:val="6"/>
      </w:numPr>
      <w:spacing w:before="240" w:after="60"/>
      <w:jc w:val="both"/>
      <w:outlineLvl w:val="5"/>
    </w:pPr>
    <w:rPr>
      <w:b/>
      <w:bCs/>
      <w:szCs w:val="22"/>
      <w:lang w:val="es-ES"/>
    </w:rPr>
  </w:style>
  <w:style w:type="paragraph" w:styleId="Ttulo7">
    <w:name w:val="heading 7"/>
    <w:basedOn w:val="Normal"/>
    <w:next w:val="Normal"/>
    <w:link w:val="Ttulo7Car"/>
    <w:qFormat/>
    <w:rsid w:val="00443839"/>
    <w:pPr>
      <w:numPr>
        <w:ilvl w:val="6"/>
        <w:numId w:val="6"/>
      </w:numPr>
      <w:spacing w:before="240" w:after="60"/>
      <w:jc w:val="both"/>
      <w:outlineLvl w:val="6"/>
    </w:pPr>
    <w:rPr>
      <w:sz w:val="24"/>
      <w:lang w:val="es-ES"/>
    </w:rPr>
  </w:style>
  <w:style w:type="paragraph" w:styleId="Ttulo8">
    <w:name w:val="heading 8"/>
    <w:basedOn w:val="Normal"/>
    <w:next w:val="Normal"/>
    <w:link w:val="Ttulo8Car"/>
    <w:qFormat/>
    <w:rsid w:val="00443839"/>
    <w:pPr>
      <w:numPr>
        <w:ilvl w:val="7"/>
        <w:numId w:val="6"/>
      </w:numPr>
      <w:spacing w:before="240" w:after="60"/>
      <w:jc w:val="both"/>
      <w:outlineLvl w:val="7"/>
    </w:pPr>
    <w:rPr>
      <w:i/>
      <w:iCs/>
      <w:sz w:val="24"/>
      <w:lang w:val="es-ES"/>
    </w:rPr>
  </w:style>
  <w:style w:type="paragraph" w:styleId="Ttulo9">
    <w:name w:val="heading 9"/>
    <w:basedOn w:val="Normal"/>
    <w:next w:val="Normal"/>
    <w:link w:val="Ttulo9Car"/>
    <w:qFormat/>
    <w:rsid w:val="00443839"/>
    <w:pPr>
      <w:numPr>
        <w:ilvl w:val="8"/>
        <w:numId w:val="6"/>
      </w:numPr>
      <w:spacing w:before="240" w:after="60"/>
      <w:jc w:val="both"/>
      <w:outlineLvl w:val="8"/>
    </w:pPr>
    <w:rPr>
      <w:rFonts w:ascii="Arial" w:hAnsi="Arial" w:cs="Arial"/>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30520"/>
    <w:pPr>
      <w:tabs>
        <w:tab w:val="center" w:pos="4419"/>
        <w:tab w:val="right" w:pos="8838"/>
      </w:tabs>
    </w:pPr>
    <w:rPr>
      <w:rFonts w:asciiTheme="minorHAnsi" w:eastAsiaTheme="minorEastAsia" w:hAnsiTheme="minorHAnsi" w:cstheme="minorBidi"/>
      <w:sz w:val="24"/>
      <w:szCs w:val="24"/>
      <w:lang w:val="en-US"/>
    </w:rPr>
  </w:style>
  <w:style w:type="character" w:customStyle="1" w:styleId="EncabezadoCar">
    <w:name w:val="Encabezado Car"/>
    <w:basedOn w:val="Fuentedeprrafopredeter"/>
    <w:link w:val="Encabezado"/>
    <w:uiPriority w:val="99"/>
    <w:rsid w:val="00030520"/>
  </w:style>
  <w:style w:type="paragraph" w:styleId="Piedepgina">
    <w:name w:val="footer"/>
    <w:basedOn w:val="Normal"/>
    <w:link w:val="PiedepginaCar"/>
    <w:uiPriority w:val="99"/>
    <w:unhideWhenUsed/>
    <w:rsid w:val="00030520"/>
    <w:pPr>
      <w:tabs>
        <w:tab w:val="center" w:pos="4419"/>
        <w:tab w:val="right" w:pos="8838"/>
      </w:tabs>
    </w:pPr>
    <w:rPr>
      <w:rFonts w:asciiTheme="minorHAnsi" w:eastAsiaTheme="minorEastAsia" w:hAnsiTheme="minorHAnsi" w:cstheme="minorBidi"/>
      <w:sz w:val="24"/>
      <w:szCs w:val="24"/>
      <w:lang w:val="en-US"/>
    </w:rPr>
  </w:style>
  <w:style w:type="character" w:customStyle="1" w:styleId="PiedepginaCar">
    <w:name w:val="Pie de página Car"/>
    <w:basedOn w:val="Fuentedeprrafopredeter"/>
    <w:link w:val="Piedepgina"/>
    <w:uiPriority w:val="99"/>
    <w:rsid w:val="00030520"/>
  </w:style>
  <w:style w:type="character" w:styleId="Hipervnculo">
    <w:name w:val="Hyperlink"/>
    <w:basedOn w:val="Fuentedeprrafopredeter"/>
    <w:uiPriority w:val="99"/>
    <w:unhideWhenUsed/>
    <w:rsid w:val="006A66E2"/>
    <w:rPr>
      <w:color w:val="0000FF" w:themeColor="hyperlink"/>
      <w:u w:val="single"/>
    </w:rPr>
  </w:style>
  <w:style w:type="paragraph" w:styleId="Textoindependiente2">
    <w:name w:val="Body Text 2"/>
    <w:basedOn w:val="Normal"/>
    <w:link w:val="Textoindependiente2Car"/>
    <w:rsid w:val="00A52244"/>
    <w:pPr>
      <w:jc w:val="both"/>
    </w:pPr>
    <w:rPr>
      <w:i/>
      <w:sz w:val="22"/>
    </w:rPr>
  </w:style>
  <w:style w:type="character" w:customStyle="1" w:styleId="Textoindependiente2Car">
    <w:name w:val="Texto independiente 2 Car"/>
    <w:basedOn w:val="Fuentedeprrafopredeter"/>
    <w:link w:val="Textoindependiente2"/>
    <w:rsid w:val="00A52244"/>
    <w:rPr>
      <w:rFonts w:ascii="Times New Roman" w:eastAsia="Times New Roman" w:hAnsi="Times New Roman" w:cs="Times New Roman"/>
      <w:i/>
      <w:sz w:val="22"/>
      <w:szCs w:val="20"/>
      <w:lang w:val="es-ES_tradnl"/>
    </w:rPr>
  </w:style>
  <w:style w:type="character" w:styleId="Nmerodepgina">
    <w:name w:val="page number"/>
    <w:basedOn w:val="Fuentedeprrafopredeter"/>
    <w:uiPriority w:val="99"/>
    <w:semiHidden/>
    <w:unhideWhenUsed/>
    <w:rsid w:val="00B72785"/>
  </w:style>
  <w:style w:type="paragraph" w:styleId="Prrafodelista">
    <w:name w:val="List Paragraph"/>
    <w:aliases w:val="Párrafo de Informe de Auditoría,List Paragraph,VIÑETA,Titulo 2"/>
    <w:basedOn w:val="Normal"/>
    <w:link w:val="PrrafodelistaCar"/>
    <w:uiPriority w:val="34"/>
    <w:qFormat/>
    <w:rsid w:val="00980535"/>
    <w:pPr>
      <w:ind w:left="708"/>
      <w:jc w:val="both"/>
    </w:pPr>
    <w:rPr>
      <w:rFonts w:ascii="Century Gothic" w:hAnsi="Century Gothic"/>
      <w:sz w:val="18"/>
      <w:lang w:val="es-ES"/>
    </w:rPr>
  </w:style>
  <w:style w:type="character" w:customStyle="1" w:styleId="PrrafodelistaCar">
    <w:name w:val="Párrafo de lista Car"/>
    <w:aliases w:val="Párrafo de Informe de Auditoría Car,List Paragraph Car,VIÑETA Car,Titulo 2 Car"/>
    <w:link w:val="Prrafodelista"/>
    <w:uiPriority w:val="34"/>
    <w:qFormat/>
    <w:rsid w:val="00980535"/>
    <w:rPr>
      <w:rFonts w:ascii="Century Gothic" w:eastAsia="Times New Roman" w:hAnsi="Century Gothic" w:cs="Times New Roman"/>
      <w:sz w:val="18"/>
      <w:szCs w:val="20"/>
      <w:lang w:val="es-ES"/>
    </w:rPr>
  </w:style>
  <w:style w:type="character" w:styleId="Refdenotaalpie">
    <w:name w:val="footnote reference"/>
    <w:aliases w:val="Ref,de nota al pie"/>
    <w:uiPriority w:val="99"/>
    <w:rsid w:val="006D1297"/>
    <w:rPr>
      <w:rFonts w:ascii="Century Gothic" w:hAnsi="Century Gothic"/>
      <w:sz w:val="16"/>
      <w:vertAlign w:val="superscript"/>
    </w:rPr>
  </w:style>
  <w:style w:type="character" w:customStyle="1" w:styleId="Ttulo1Car">
    <w:name w:val="Título 1 Car"/>
    <w:basedOn w:val="Fuentedeprrafopredeter"/>
    <w:link w:val="Ttulo1"/>
    <w:rsid w:val="00443839"/>
    <w:rPr>
      <w:rFonts w:ascii="Century Gothic" w:eastAsia="Times New Roman" w:hAnsi="Century Gothic" w:cs="Arial"/>
      <w:b/>
      <w:bCs/>
      <w:kern w:val="32"/>
      <w:sz w:val="28"/>
      <w:szCs w:val="20"/>
      <w:lang w:val="es-ES"/>
    </w:rPr>
  </w:style>
  <w:style w:type="character" w:customStyle="1" w:styleId="Ttulo2Car">
    <w:name w:val="Título 2 Car"/>
    <w:basedOn w:val="Fuentedeprrafopredeter"/>
    <w:link w:val="Ttulo2"/>
    <w:uiPriority w:val="99"/>
    <w:rsid w:val="00443839"/>
    <w:rPr>
      <w:rFonts w:ascii="Century Gothic" w:eastAsia="Times New Roman" w:hAnsi="Century Gothic" w:cs="Times New Roman"/>
      <w:b/>
      <w:bCs/>
      <w:iCs/>
      <w:szCs w:val="20"/>
      <w:lang w:val="es-CR"/>
    </w:rPr>
  </w:style>
  <w:style w:type="character" w:customStyle="1" w:styleId="Ttulo3Car">
    <w:name w:val="Título 3 Car"/>
    <w:basedOn w:val="Fuentedeprrafopredeter"/>
    <w:link w:val="Ttulo3"/>
    <w:rsid w:val="00443839"/>
    <w:rPr>
      <w:rFonts w:eastAsia="Times New Roman" w:cs="Times New Roman"/>
      <w:b/>
      <w:bCs/>
      <w:sz w:val="20"/>
      <w:szCs w:val="20"/>
      <w:lang w:val="es-ES_tradnl"/>
    </w:rPr>
  </w:style>
  <w:style w:type="character" w:customStyle="1" w:styleId="Ttulo4Car">
    <w:name w:val="Título 4 Car"/>
    <w:basedOn w:val="Fuentedeprrafopredeter"/>
    <w:link w:val="Ttulo4"/>
    <w:rsid w:val="00443839"/>
    <w:rPr>
      <w:rFonts w:ascii="Century Gothic" w:eastAsia="Times New Roman" w:hAnsi="Century Gothic" w:cs="Times New Roman"/>
      <w:b/>
      <w:bCs/>
      <w:sz w:val="20"/>
      <w:szCs w:val="20"/>
      <w:lang w:val="es-CR" w:eastAsia="es-CR"/>
    </w:rPr>
  </w:style>
  <w:style w:type="character" w:customStyle="1" w:styleId="Ttulo5Car">
    <w:name w:val="Título 5 Car"/>
    <w:basedOn w:val="Fuentedeprrafopredeter"/>
    <w:link w:val="Ttulo5"/>
    <w:rsid w:val="00443839"/>
    <w:rPr>
      <w:rFonts w:ascii="Century Gothic" w:eastAsia="Times New Roman" w:hAnsi="Century Gothic" w:cs="Times New Roman"/>
      <w:b/>
      <w:bCs/>
      <w:i/>
      <w:iCs/>
      <w:sz w:val="26"/>
      <w:szCs w:val="26"/>
      <w:lang w:val="es-ES"/>
    </w:rPr>
  </w:style>
  <w:style w:type="character" w:customStyle="1" w:styleId="Ttulo6Car">
    <w:name w:val="Título 6 Car"/>
    <w:basedOn w:val="Fuentedeprrafopredeter"/>
    <w:link w:val="Ttulo6"/>
    <w:rsid w:val="00443839"/>
    <w:rPr>
      <w:rFonts w:ascii="Times New Roman" w:eastAsia="Times New Roman" w:hAnsi="Times New Roman" w:cs="Times New Roman"/>
      <w:b/>
      <w:bCs/>
      <w:sz w:val="20"/>
      <w:szCs w:val="22"/>
      <w:lang w:val="es-ES"/>
    </w:rPr>
  </w:style>
  <w:style w:type="character" w:customStyle="1" w:styleId="Ttulo7Car">
    <w:name w:val="Título 7 Car"/>
    <w:basedOn w:val="Fuentedeprrafopredeter"/>
    <w:link w:val="Ttulo7"/>
    <w:rsid w:val="00443839"/>
    <w:rPr>
      <w:rFonts w:ascii="Times New Roman" w:eastAsia="Times New Roman" w:hAnsi="Times New Roman" w:cs="Times New Roman"/>
      <w:szCs w:val="20"/>
      <w:lang w:val="es-ES"/>
    </w:rPr>
  </w:style>
  <w:style w:type="character" w:customStyle="1" w:styleId="Ttulo8Car">
    <w:name w:val="Título 8 Car"/>
    <w:basedOn w:val="Fuentedeprrafopredeter"/>
    <w:link w:val="Ttulo8"/>
    <w:rsid w:val="00443839"/>
    <w:rPr>
      <w:rFonts w:ascii="Times New Roman" w:eastAsia="Times New Roman" w:hAnsi="Times New Roman" w:cs="Times New Roman"/>
      <w:i/>
      <w:iCs/>
      <w:szCs w:val="20"/>
      <w:lang w:val="es-ES"/>
    </w:rPr>
  </w:style>
  <w:style w:type="character" w:customStyle="1" w:styleId="Ttulo9Car">
    <w:name w:val="Título 9 Car"/>
    <w:basedOn w:val="Fuentedeprrafopredeter"/>
    <w:link w:val="Ttulo9"/>
    <w:rsid w:val="00443839"/>
    <w:rPr>
      <w:rFonts w:ascii="Arial" w:eastAsia="Times New Roman" w:hAnsi="Arial" w:cs="Arial"/>
      <w:sz w:val="20"/>
      <w:szCs w:val="22"/>
      <w:lang w:val="es-ES"/>
    </w:rPr>
  </w:style>
  <w:style w:type="paragraph" w:styleId="Textodeglobo">
    <w:name w:val="Balloon Text"/>
    <w:basedOn w:val="Normal"/>
    <w:link w:val="TextodegloboCar"/>
    <w:uiPriority w:val="99"/>
    <w:semiHidden/>
    <w:unhideWhenUsed/>
    <w:rsid w:val="004E0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AC8"/>
    <w:rPr>
      <w:rFonts w:ascii="Tahoma" w:eastAsia="Times New Roman" w:hAnsi="Tahoma" w:cs="Tahoma"/>
      <w:sz w:val="16"/>
      <w:szCs w:val="16"/>
      <w:lang w:val="es-ES_tradnl"/>
    </w:rPr>
  </w:style>
  <w:style w:type="character" w:styleId="Refdecomentario">
    <w:name w:val="annotation reference"/>
    <w:basedOn w:val="Fuentedeprrafopredeter"/>
    <w:uiPriority w:val="99"/>
    <w:semiHidden/>
    <w:unhideWhenUsed/>
    <w:rsid w:val="004E0AC8"/>
    <w:rPr>
      <w:sz w:val="16"/>
      <w:szCs w:val="16"/>
    </w:rPr>
  </w:style>
  <w:style w:type="paragraph" w:styleId="Textocomentario">
    <w:name w:val="annotation text"/>
    <w:basedOn w:val="Normal"/>
    <w:link w:val="TextocomentarioCar"/>
    <w:uiPriority w:val="99"/>
    <w:semiHidden/>
    <w:unhideWhenUsed/>
    <w:rsid w:val="004E0AC8"/>
  </w:style>
  <w:style w:type="character" w:customStyle="1" w:styleId="TextocomentarioCar">
    <w:name w:val="Texto comentario Car"/>
    <w:basedOn w:val="Fuentedeprrafopredeter"/>
    <w:link w:val="Textocomentario"/>
    <w:uiPriority w:val="99"/>
    <w:semiHidden/>
    <w:rsid w:val="004E0AC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E0AC8"/>
    <w:rPr>
      <w:b/>
      <w:bCs/>
    </w:rPr>
  </w:style>
  <w:style w:type="character" w:customStyle="1" w:styleId="AsuntodelcomentarioCar">
    <w:name w:val="Asunto del comentario Car"/>
    <w:basedOn w:val="TextocomentarioCar"/>
    <w:link w:val="Asuntodelcomentario"/>
    <w:uiPriority w:val="99"/>
    <w:semiHidden/>
    <w:rsid w:val="004E0AC8"/>
    <w:rPr>
      <w:rFonts w:ascii="Times New Roman" w:eastAsia="Times New Roman" w:hAnsi="Times New Roman" w:cs="Times New Roman"/>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74"/>
    <w:rPr>
      <w:rFonts w:ascii="Times New Roman" w:eastAsia="Times New Roman" w:hAnsi="Times New Roman" w:cs="Times New Roman"/>
      <w:sz w:val="20"/>
      <w:szCs w:val="20"/>
      <w:lang w:val="es-ES_tradnl"/>
    </w:rPr>
  </w:style>
  <w:style w:type="paragraph" w:styleId="Ttulo1">
    <w:name w:val="heading 1"/>
    <w:basedOn w:val="Normal"/>
    <w:next w:val="Normal"/>
    <w:link w:val="Ttulo1Car"/>
    <w:autoRedefine/>
    <w:qFormat/>
    <w:rsid w:val="00443839"/>
    <w:pPr>
      <w:keepNext/>
      <w:numPr>
        <w:numId w:val="6"/>
      </w:numPr>
      <w:pBdr>
        <w:bottom w:val="single" w:sz="12" w:space="1" w:color="auto"/>
      </w:pBdr>
      <w:jc w:val="both"/>
      <w:outlineLvl w:val="0"/>
    </w:pPr>
    <w:rPr>
      <w:rFonts w:ascii="Century Gothic" w:hAnsi="Century Gothic" w:cs="Arial"/>
      <w:b/>
      <w:bCs/>
      <w:kern w:val="32"/>
      <w:sz w:val="28"/>
      <w:lang w:val="es-ES"/>
    </w:rPr>
  </w:style>
  <w:style w:type="paragraph" w:styleId="Ttulo2">
    <w:name w:val="heading 2"/>
    <w:basedOn w:val="Normal"/>
    <w:next w:val="Normal"/>
    <w:link w:val="Ttulo2Car"/>
    <w:autoRedefine/>
    <w:uiPriority w:val="99"/>
    <w:qFormat/>
    <w:rsid w:val="00443839"/>
    <w:pPr>
      <w:keepNext/>
      <w:numPr>
        <w:ilvl w:val="1"/>
        <w:numId w:val="6"/>
      </w:numPr>
      <w:pBdr>
        <w:bottom w:val="double" w:sz="4" w:space="1" w:color="auto"/>
      </w:pBdr>
      <w:tabs>
        <w:tab w:val="left" w:pos="851"/>
      </w:tabs>
      <w:jc w:val="both"/>
      <w:outlineLvl w:val="1"/>
    </w:pPr>
    <w:rPr>
      <w:rFonts w:ascii="Century Gothic" w:hAnsi="Century Gothic"/>
      <w:b/>
      <w:bCs/>
      <w:iCs/>
      <w:sz w:val="24"/>
      <w:lang w:val="es-CR"/>
    </w:rPr>
  </w:style>
  <w:style w:type="paragraph" w:styleId="Ttulo3">
    <w:name w:val="heading 3"/>
    <w:basedOn w:val="Normal"/>
    <w:next w:val="Normal"/>
    <w:link w:val="Ttulo3Car"/>
    <w:autoRedefine/>
    <w:qFormat/>
    <w:rsid w:val="00443839"/>
    <w:pPr>
      <w:keepNext/>
      <w:numPr>
        <w:ilvl w:val="2"/>
        <w:numId w:val="6"/>
      </w:numPr>
      <w:tabs>
        <w:tab w:val="left" w:pos="567"/>
      </w:tabs>
      <w:outlineLvl w:val="2"/>
    </w:pPr>
    <w:rPr>
      <w:rFonts w:asciiTheme="minorHAnsi" w:hAnsiTheme="minorHAnsi"/>
      <w:b/>
      <w:bCs/>
    </w:rPr>
  </w:style>
  <w:style w:type="paragraph" w:styleId="Ttulo4">
    <w:name w:val="heading 4"/>
    <w:basedOn w:val="Normal"/>
    <w:next w:val="Normal"/>
    <w:link w:val="Ttulo4Car"/>
    <w:autoRedefine/>
    <w:qFormat/>
    <w:rsid w:val="00443839"/>
    <w:pPr>
      <w:keepNext/>
      <w:keepLines/>
      <w:numPr>
        <w:ilvl w:val="3"/>
        <w:numId w:val="6"/>
      </w:numPr>
      <w:tabs>
        <w:tab w:val="left" w:pos="1134"/>
      </w:tabs>
      <w:spacing w:before="200" w:line="276" w:lineRule="auto"/>
      <w:jc w:val="both"/>
      <w:outlineLvl w:val="3"/>
    </w:pPr>
    <w:rPr>
      <w:rFonts w:ascii="Century Gothic" w:hAnsi="Century Gothic"/>
      <w:b/>
      <w:bCs/>
      <w:lang w:val="es-CR" w:eastAsia="es-CR"/>
    </w:rPr>
  </w:style>
  <w:style w:type="paragraph" w:styleId="Ttulo5">
    <w:name w:val="heading 5"/>
    <w:basedOn w:val="Normal"/>
    <w:next w:val="Normal"/>
    <w:link w:val="Ttulo5Car"/>
    <w:qFormat/>
    <w:rsid w:val="00443839"/>
    <w:pPr>
      <w:numPr>
        <w:ilvl w:val="4"/>
        <w:numId w:val="6"/>
      </w:numPr>
      <w:spacing w:before="240" w:after="60"/>
      <w:jc w:val="both"/>
      <w:outlineLvl w:val="4"/>
    </w:pPr>
    <w:rPr>
      <w:rFonts w:ascii="Century Gothic" w:hAnsi="Century Gothic"/>
      <w:b/>
      <w:bCs/>
      <w:i/>
      <w:iCs/>
      <w:sz w:val="26"/>
      <w:szCs w:val="26"/>
      <w:lang w:val="es-ES"/>
    </w:rPr>
  </w:style>
  <w:style w:type="paragraph" w:styleId="Ttulo6">
    <w:name w:val="heading 6"/>
    <w:basedOn w:val="Normal"/>
    <w:next w:val="Normal"/>
    <w:link w:val="Ttulo6Car"/>
    <w:qFormat/>
    <w:rsid w:val="00443839"/>
    <w:pPr>
      <w:numPr>
        <w:ilvl w:val="5"/>
        <w:numId w:val="6"/>
      </w:numPr>
      <w:spacing w:before="240" w:after="60"/>
      <w:jc w:val="both"/>
      <w:outlineLvl w:val="5"/>
    </w:pPr>
    <w:rPr>
      <w:b/>
      <w:bCs/>
      <w:szCs w:val="22"/>
      <w:lang w:val="es-ES"/>
    </w:rPr>
  </w:style>
  <w:style w:type="paragraph" w:styleId="Ttulo7">
    <w:name w:val="heading 7"/>
    <w:basedOn w:val="Normal"/>
    <w:next w:val="Normal"/>
    <w:link w:val="Ttulo7Car"/>
    <w:qFormat/>
    <w:rsid w:val="00443839"/>
    <w:pPr>
      <w:numPr>
        <w:ilvl w:val="6"/>
        <w:numId w:val="6"/>
      </w:numPr>
      <w:spacing w:before="240" w:after="60"/>
      <w:jc w:val="both"/>
      <w:outlineLvl w:val="6"/>
    </w:pPr>
    <w:rPr>
      <w:sz w:val="24"/>
      <w:lang w:val="es-ES"/>
    </w:rPr>
  </w:style>
  <w:style w:type="paragraph" w:styleId="Ttulo8">
    <w:name w:val="heading 8"/>
    <w:basedOn w:val="Normal"/>
    <w:next w:val="Normal"/>
    <w:link w:val="Ttulo8Car"/>
    <w:qFormat/>
    <w:rsid w:val="00443839"/>
    <w:pPr>
      <w:numPr>
        <w:ilvl w:val="7"/>
        <w:numId w:val="6"/>
      </w:numPr>
      <w:spacing w:before="240" w:after="60"/>
      <w:jc w:val="both"/>
      <w:outlineLvl w:val="7"/>
    </w:pPr>
    <w:rPr>
      <w:i/>
      <w:iCs/>
      <w:sz w:val="24"/>
      <w:lang w:val="es-ES"/>
    </w:rPr>
  </w:style>
  <w:style w:type="paragraph" w:styleId="Ttulo9">
    <w:name w:val="heading 9"/>
    <w:basedOn w:val="Normal"/>
    <w:next w:val="Normal"/>
    <w:link w:val="Ttulo9Car"/>
    <w:qFormat/>
    <w:rsid w:val="00443839"/>
    <w:pPr>
      <w:numPr>
        <w:ilvl w:val="8"/>
        <w:numId w:val="6"/>
      </w:numPr>
      <w:spacing w:before="240" w:after="60"/>
      <w:jc w:val="both"/>
      <w:outlineLvl w:val="8"/>
    </w:pPr>
    <w:rPr>
      <w:rFonts w:ascii="Arial" w:hAnsi="Arial" w:cs="Arial"/>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30520"/>
    <w:pPr>
      <w:tabs>
        <w:tab w:val="center" w:pos="4419"/>
        <w:tab w:val="right" w:pos="8838"/>
      </w:tabs>
    </w:pPr>
    <w:rPr>
      <w:rFonts w:asciiTheme="minorHAnsi" w:eastAsiaTheme="minorEastAsia" w:hAnsiTheme="minorHAnsi" w:cstheme="minorBidi"/>
      <w:sz w:val="24"/>
      <w:szCs w:val="24"/>
      <w:lang w:val="en-US"/>
    </w:rPr>
  </w:style>
  <w:style w:type="character" w:customStyle="1" w:styleId="EncabezadoCar">
    <w:name w:val="Encabezado Car"/>
    <w:basedOn w:val="Fuentedeprrafopredeter"/>
    <w:link w:val="Encabezado"/>
    <w:uiPriority w:val="99"/>
    <w:rsid w:val="00030520"/>
  </w:style>
  <w:style w:type="paragraph" w:styleId="Piedepgina">
    <w:name w:val="footer"/>
    <w:basedOn w:val="Normal"/>
    <w:link w:val="PiedepginaCar"/>
    <w:uiPriority w:val="99"/>
    <w:unhideWhenUsed/>
    <w:rsid w:val="00030520"/>
    <w:pPr>
      <w:tabs>
        <w:tab w:val="center" w:pos="4419"/>
        <w:tab w:val="right" w:pos="8838"/>
      </w:tabs>
    </w:pPr>
    <w:rPr>
      <w:rFonts w:asciiTheme="minorHAnsi" w:eastAsiaTheme="minorEastAsia" w:hAnsiTheme="minorHAnsi" w:cstheme="minorBidi"/>
      <w:sz w:val="24"/>
      <w:szCs w:val="24"/>
      <w:lang w:val="en-US"/>
    </w:rPr>
  </w:style>
  <w:style w:type="character" w:customStyle="1" w:styleId="PiedepginaCar">
    <w:name w:val="Pie de página Car"/>
    <w:basedOn w:val="Fuentedeprrafopredeter"/>
    <w:link w:val="Piedepgina"/>
    <w:uiPriority w:val="99"/>
    <w:rsid w:val="00030520"/>
  </w:style>
  <w:style w:type="character" w:styleId="Hipervnculo">
    <w:name w:val="Hyperlink"/>
    <w:basedOn w:val="Fuentedeprrafopredeter"/>
    <w:uiPriority w:val="99"/>
    <w:unhideWhenUsed/>
    <w:rsid w:val="006A66E2"/>
    <w:rPr>
      <w:color w:val="0000FF" w:themeColor="hyperlink"/>
      <w:u w:val="single"/>
    </w:rPr>
  </w:style>
  <w:style w:type="paragraph" w:styleId="Textoindependiente2">
    <w:name w:val="Body Text 2"/>
    <w:basedOn w:val="Normal"/>
    <w:link w:val="Textoindependiente2Car"/>
    <w:rsid w:val="00A52244"/>
    <w:pPr>
      <w:jc w:val="both"/>
    </w:pPr>
    <w:rPr>
      <w:i/>
      <w:sz w:val="22"/>
    </w:rPr>
  </w:style>
  <w:style w:type="character" w:customStyle="1" w:styleId="Textoindependiente2Car">
    <w:name w:val="Texto independiente 2 Car"/>
    <w:basedOn w:val="Fuentedeprrafopredeter"/>
    <w:link w:val="Textoindependiente2"/>
    <w:rsid w:val="00A52244"/>
    <w:rPr>
      <w:rFonts w:ascii="Times New Roman" w:eastAsia="Times New Roman" w:hAnsi="Times New Roman" w:cs="Times New Roman"/>
      <w:i/>
      <w:sz w:val="22"/>
      <w:szCs w:val="20"/>
      <w:lang w:val="es-ES_tradnl"/>
    </w:rPr>
  </w:style>
  <w:style w:type="character" w:styleId="Nmerodepgina">
    <w:name w:val="page number"/>
    <w:basedOn w:val="Fuentedeprrafopredeter"/>
    <w:uiPriority w:val="99"/>
    <w:semiHidden/>
    <w:unhideWhenUsed/>
    <w:rsid w:val="00B72785"/>
  </w:style>
  <w:style w:type="paragraph" w:styleId="Prrafodelista">
    <w:name w:val="List Paragraph"/>
    <w:aliases w:val="Párrafo de Informe de Auditoría,List Paragraph,VIÑETA,Titulo 2"/>
    <w:basedOn w:val="Normal"/>
    <w:link w:val="PrrafodelistaCar"/>
    <w:uiPriority w:val="34"/>
    <w:qFormat/>
    <w:rsid w:val="00980535"/>
    <w:pPr>
      <w:ind w:left="708"/>
      <w:jc w:val="both"/>
    </w:pPr>
    <w:rPr>
      <w:rFonts w:ascii="Century Gothic" w:hAnsi="Century Gothic"/>
      <w:sz w:val="18"/>
      <w:lang w:val="es-ES"/>
    </w:rPr>
  </w:style>
  <w:style w:type="character" w:customStyle="1" w:styleId="PrrafodelistaCar">
    <w:name w:val="Párrafo de lista Car"/>
    <w:aliases w:val="Párrafo de Informe de Auditoría Car,List Paragraph Car,VIÑETA Car,Titulo 2 Car"/>
    <w:link w:val="Prrafodelista"/>
    <w:uiPriority w:val="34"/>
    <w:qFormat/>
    <w:rsid w:val="00980535"/>
    <w:rPr>
      <w:rFonts w:ascii="Century Gothic" w:eastAsia="Times New Roman" w:hAnsi="Century Gothic" w:cs="Times New Roman"/>
      <w:sz w:val="18"/>
      <w:szCs w:val="20"/>
      <w:lang w:val="es-ES"/>
    </w:rPr>
  </w:style>
  <w:style w:type="character" w:styleId="Refdenotaalpie">
    <w:name w:val="footnote reference"/>
    <w:aliases w:val="Ref,de nota al pie"/>
    <w:uiPriority w:val="99"/>
    <w:rsid w:val="006D1297"/>
    <w:rPr>
      <w:rFonts w:ascii="Century Gothic" w:hAnsi="Century Gothic"/>
      <w:sz w:val="16"/>
      <w:vertAlign w:val="superscript"/>
    </w:rPr>
  </w:style>
  <w:style w:type="character" w:customStyle="1" w:styleId="Ttulo1Car">
    <w:name w:val="Título 1 Car"/>
    <w:basedOn w:val="Fuentedeprrafopredeter"/>
    <w:link w:val="Ttulo1"/>
    <w:rsid w:val="00443839"/>
    <w:rPr>
      <w:rFonts w:ascii="Century Gothic" w:eastAsia="Times New Roman" w:hAnsi="Century Gothic" w:cs="Arial"/>
      <w:b/>
      <w:bCs/>
      <w:kern w:val="32"/>
      <w:sz w:val="28"/>
      <w:szCs w:val="20"/>
      <w:lang w:val="es-ES"/>
    </w:rPr>
  </w:style>
  <w:style w:type="character" w:customStyle="1" w:styleId="Ttulo2Car">
    <w:name w:val="Título 2 Car"/>
    <w:basedOn w:val="Fuentedeprrafopredeter"/>
    <w:link w:val="Ttulo2"/>
    <w:uiPriority w:val="99"/>
    <w:rsid w:val="00443839"/>
    <w:rPr>
      <w:rFonts w:ascii="Century Gothic" w:eastAsia="Times New Roman" w:hAnsi="Century Gothic" w:cs="Times New Roman"/>
      <w:b/>
      <w:bCs/>
      <w:iCs/>
      <w:szCs w:val="20"/>
      <w:lang w:val="es-CR"/>
    </w:rPr>
  </w:style>
  <w:style w:type="character" w:customStyle="1" w:styleId="Ttulo3Car">
    <w:name w:val="Título 3 Car"/>
    <w:basedOn w:val="Fuentedeprrafopredeter"/>
    <w:link w:val="Ttulo3"/>
    <w:rsid w:val="00443839"/>
    <w:rPr>
      <w:rFonts w:eastAsia="Times New Roman" w:cs="Times New Roman"/>
      <w:b/>
      <w:bCs/>
      <w:sz w:val="20"/>
      <w:szCs w:val="20"/>
      <w:lang w:val="es-ES_tradnl"/>
    </w:rPr>
  </w:style>
  <w:style w:type="character" w:customStyle="1" w:styleId="Ttulo4Car">
    <w:name w:val="Título 4 Car"/>
    <w:basedOn w:val="Fuentedeprrafopredeter"/>
    <w:link w:val="Ttulo4"/>
    <w:rsid w:val="00443839"/>
    <w:rPr>
      <w:rFonts w:ascii="Century Gothic" w:eastAsia="Times New Roman" w:hAnsi="Century Gothic" w:cs="Times New Roman"/>
      <w:b/>
      <w:bCs/>
      <w:sz w:val="20"/>
      <w:szCs w:val="20"/>
      <w:lang w:val="es-CR" w:eastAsia="es-CR"/>
    </w:rPr>
  </w:style>
  <w:style w:type="character" w:customStyle="1" w:styleId="Ttulo5Car">
    <w:name w:val="Título 5 Car"/>
    <w:basedOn w:val="Fuentedeprrafopredeter"/>
    <w:link w:val="Ttulo5"/>
    <w:rsid w:val="00443839"/>
    <w:rPr>
      <w:rFonts w:ascii="Century Gothic" w:eastAsia="Times New Roman" w:hAnsi="Century Gothic" w:cs="Times New Roman"/>
      <w:b/>
      <w:bCs/>
      <w:i/>
      <w:iCs/>
      <w:sz w:val="26"/>
      <w:szCs w:val="26"/>
      <w:lang w:val="es-ES"/>
    </w:rPr>
  </w:style>
  <w:style w:type="character" w:customStyle="1" w:styleId="Ttulo6Car">
    <w:name w:val="Título 6 Car"/>
    <w:basedOn w:val="Fuentedeprrafopredeter"/>
    <w:link w:val="Ttulo6"/>
    <w:rsid w:val="00443839"/>
    <w:rPr>
      <w:rFonts w:ascii="Times New Roman" w:eastAsia="Times New Roman" w:hAnsi="Times New Roman" w:cs="Times New Roman"/>
      <w:b/>
      <w:bCs/>
      <w:sz w:val="20"/>
      <w:szCs w:val="22"/>
      <w:lang w:val="es-ES"/>
    </w:rPr>
  </w:style>
  <w:style w:type="character" w:customStyle="1" w:styleId="Ttulo7Car">
    <w:name w:val="Título 7 Car"/>
    <w:basedOn w:val="Fuentedeprrafopredeter"/>
    <w:link w:val="Ttulo7"/>
    <w:rsid w:val="00443839"/>
    <w:rPr>
      <w:rFonts w:ascii="Times New Roman" w:eastAsia="Times New Roman" w:hAnsi="Times New Roman" w:cs="Times New Roman"/>
      <w:szCs w:val="20"/>
      <w:lang w:val="es-ES"/>
    </w:rPr>
  </w:style>
  <w:style w:type="character" w:customStyle="1" w:styleId="Ttulo8Car">
    <w:name w:val="Título 8 Car"/>
    <w:basedOn w:val="Fuentedeprrafopredeter"/>
    <w:link w:val="Ttulo8"/>
    <w:rsid w:val="00443839"/>
    <w:rPr>
      <w:rFonts w:ascii="Times New Roman" w:eastAsia="Times New Roman" w:hAnsi="Times New Roman" w:cs="Times New Roman"/>
      <w:i/>
      <w:iCs/>
      <w:szCs w:val="20"/>
      <w:lang w:val="es-ES"/>
    </w:rPr>
  </w:style>
  <w:style w:type="character" w:customStyle="1" w:styleId="Ttulo9Car">
    <w:name w:val="Título 9 Car"/>
    <w:basedOn w:val="Fuentedeprrafopredeter"/>
    <w:link w:val="Ttulo9"/>
    <w:rsid w:val="00443839"/>
    <w:rPr>
      <w:rFonts w:ascii="Arial" w:eastAsia="Times New Roman" w:hAnsi="Arial" w:cs="Arial"/>
      <w:sz w:val="20"/>
      <w:szCs w:val="22"/>
      <w:lang w:val="es-ES"/>
    </w:rPr>
  </w:style>
  <w:style w:type="paragraph" w:styleId="Textodeglobo">
    <w:name w:val="Balloon Text"/>
    <w:basedOn w:val="Normal"/>
    <w:link w:val="TextodegloboCar"/>
    <w:uiPriority w:val="99"/>
    <w:semiHidden/>
    <w:unhideWhenUsed/>
    <w:rsid w:val="004E0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AC8"/>
    <w:rPr>
      <w:rFonts w:ascii="Tahoma" w:eastAsia="Times New Roman" w:hAnsi="Tahoma" w:cs="Tahoma"/>
      <w:sz w:val="16"/>
      <w:szCs w:val="16"/>
      <w:lang w:val="es-ES_tradnl"/>
    </w:rPr>
  </w:style>
  <w:style w:type="character" w:styleId="Refdecomentario">
    <w:name w:val="annotation reference"/>
    <w:basedOn w:val="Fuentedeprrafopredeter"/>
    <w:uiPriority w:val="99"/>
    <w:semiHidden/>
    <w:unhideWhenUsed/>
    <w:rsid w:val="004E0AC8"/>
    <w:rPr>
      <w:sz w:val="16"/>
      <w:szCs w:val="16"/>
    </w:rPr>
  </w:style>
  <w:style w:type="paragraph" w:styleId="Textocomentario">
    <w:name w:val="annotation text"/>
    <w:basedOn w:val="Normal"/>
    <w:link w:val="TextocomentarioCar"/>
    <w:uiPriority w:val="99"/>
    <w:semiHidden/>
    <w:unhideWhenUsed/>
    <w:rsid w:val="004E0AC8"/>
  </w:style>
  <w:style w:type="character" w:customStyle="1" w:styleId="TextocomentarioCar">
    <w:name w:val="Texto comentario Car"/>
    <w:basedOn w:val="Fuentedeprrafopredeter"/>
    <w:link w:val="Textocomentario"/>
    <w:uiPriority w:val="99"/>
    <w:semiHidden/>
    <w:rsid w:val="004E0AC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E0AC8"/>
    <w:rPr>
      <w:b/>
      <w:bCs/>
    </w:rPr>
  </w:style>
  <w:style w:type="character" w:customStyle="1" w:styleId="AsuntodelcomentarioCar">
    <w:name w:val="Asunto del comentario Car"/>
    <w:basedOn w:val="TextocomentarioCar"/>
    <w:link w:val="Asuntodelcomentario"/>
    <w:uiPriority w:val="99"/>
    <w:semiHidden/>
    <w:rsid w:val="004E0AC8"/>
    <w:rPr>
      <w:rFonts w:ascii="Times New Roman" w:eastAsia="Times New Roman" w:hAnsi="Times New Roman"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gr.go.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gr.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3936-15ED-46F3-8314-0BAAE0A0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5647</Characters>
  <Application>Microsoft Office Word</Application>
  <DocSecurity>0</DocSecurity>
  <Lines>47</Lines>
  <Paragraphs>13</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Al contestar refiérase</vt:lpstr>
      <vt:lpstr>DGA-USI-0379</vt:lpstr>
      <vt:lpstr>Máster Soledad Jiménez Cascante</vt:lpstr>
      <vt:lpstr>Ci:	Archivo Central</vt:lpstr>
    </vt:vector>
  </TitlesOfParts>
  <Company>Contraloria General de la Republica</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Hernandez</dc:creator>
  <cp:lastModifiedBy>viviana.vargas</cp:lastModifiedBy>
  <cp:revision>2</cp:revision>
  <cp:lastPrinted>2017-08-30T21:29:00Z</cp:lastPrinted>
  <dcterms:created xsi:type="dcterms:W3CDTF">2017-09-04T13:34:00Z</dcterms:created>
  <dcterms:modified xsi:type="dcterms:W3CDTF">2017-09-04T13:34:00Z</dcterms:modified>
</cp:coreProperties>
</file>