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1D" w:rsidRPr="00284EC1" w:rsidRDefault="009F2E1D" w:rsidP="009F2E1D">
      <w:pPr>
        <w:tabs>
          <w:tab w:val="left" w:pos="8460"/>
          <w:tab w:val="left" w:pos="9000"/>
        </w:tabs>
        <w:ind w:right="-496"/>
        <w:jc w:val="center"/>
        <w:rPr>
          <w:rFonts w:ascii="Calibri" w:hAnsi="Calibri"/>
          <w:b/>
          <w:sz w:val="28"/>
          <w:lang w:val="es-CR"/>
        </w:rPr>
      </w:pPr>
      <w:r w:rsidRPr="00284EC1">
        <w:rPr>
          <w:rFonts w:ascii="Calibri" w:hAnsi="Calibri"/>
          <w:b/>
          <w:sz w:val="28"/>
          <w:lang w:val="es-CR"/>
        </w:rPr>
        <w:t>AN</w:t>
      </w:r>
      <w:r>
        <w:rPr>
          <w:rFonts w:ascii="Calibri" w:hAnsi="Calibri"/>
          <w:b/>
          <w:sz w:val="28"/>
          <w:lang w:val="es-CR"/>
        </w:rPr>
        <w:t>Á</w:t>
      </w:r>
      <w:r w:rsidRPr="00284EC1">
        <w:rPr>
          <w:rFonts w:ascii="Calibri" w:hAnsi="Calibri"/>
          <w:b/>
          <w:sz w:val="28"/>
          <w:lang w:val="es-CR"/>
        </w:rPr>
        <w:t>LISIS DE ALGUNAS INSTI</w:t>
      </w:r>
      <w:r>
        <w:rPr>
          <w:rFonts w:ascii="Calibri" w:hAnsi="Calibri"/>
          <w:b/>
          <w:sz w:val="28"/>
          <w:lang w:val="es-CR"/>
        </w:rPr>
        <w:t>TUCIONES PARA EL 2016</w:t>
      </w:r>
    </w:p>
    <w:p w:rsidR="009F2E1D" w:rsidRPr="00284EC1" w:rsidRDefault="009F2E1D" w:rsidP="009F2E1D">
      <w:pPr>
        <w:tabs>
          <w:tab w:val="left" w:pos="8460"/>
          <w:tab w:val="left" w:pos="9000"/>
        </w:tabs>
        <w:ind w:right="-496"/>
        <w:rPr>
          <w:rFonts w:ascii="Calibri" w:hAnsi="Calibri"/>
          <w:lang w:val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672"/>
      </w:tblGrid>
      <w:tr w:rsidR="009F2E1D" w:rsidRPr="00284EC1" w:rsidTr="00875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F2E1D" w:rsidRPr="00284EC1" w:rsidRDefault="00CF06F3" w:rsidP="0087591F">
            <w:pPr>
              <w:jc w:val="center"/>
              <w:rPr>
                <w:rFonts w:ascii="Calibri" w:hAnsi="Calibri" w:cs="Arial"/>
                <w:b/>
                <w:lang w:val="es-CR"/>
              </w:rPr>
            </w:pPr>
            <w:r>
              <w:rPr>
                <w:rFonts w:ascii="Calibri" w:hAnsi="Calibri" w:cs="Arial"/>
                <w:b/>
                <w:lang w:val="es-CR"/>
              </w:rPr>
              <w:t xml:space="preserve"> </w:t>
            </w:r>
            <w:r w:rsidR="009F2E1D" w:rsidRPr="00284EC1">
              <w:rPr>
                <w:rFonts w:ascii="Calibri" w:hAnsi="Calibri" w:cs="Arial"/>
                <w:b/>
                <w:lang w:val="es-CR"/>
              </w:rPr>
              <w:t>CCSS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D" w:rsidRPr="00625E01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625E01">
              <w:rPr>
                <w:rFonts w:ascii="Calibri" w:hAnsi="Calibri" w:cs="Arial"/>
                <w:lang w:val="es-CR"/>
              </w:rPr>
              <w:t>Presupuesto: ¢3.229.523 millones.</w:t>
            </w:r>
          </w:p>
          <w:p w:rsidR="009F2E1D" w:rsidRPr="007C4F4E" w:rsidRDefault="009F2E1D" w:rsidP="00E219A7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7C4F4E">
              <w:rPr>
                <w:rFonts w:ascii="Calibri" w:hAnsi="Calibri" w:cs="Arial"/>
                <w:lang w:val="es-CR"/>
              </w:rPr>
              <w:t xml:space="preserve">En el SEM, las contribuciones sociales, principal ingreso de este régimen, presentan una tendencia decreciente, aunque proyecta una mejora para el 2016 (8,0%). </w:t>
            </w:r>
            <w:r w:rsidR="005E4D8A" w:rsidRPr="005E4D8A">
              <w:rPr>
                <w:rFonts w:ascii="Calibri" w:hAnsi="Calibri" w:cs="Arial"/>
                <w:lang w:val="es-CR"/>
              </w:rPr>
              <w:t>En el 2015 y 2016 (proyectado), el porcentaje de crecimiento de los gastos totales (22,2%) supera al de las contribuciones sociales (8,0%)</w:t>
            </w:r>
            <w:r w:rsidR="005E4D8A">
              <w:rPr>
                <w:rFonts w:ascii="Calibri" w:hAnsi="Calibri" w:cs="Arial"/>
                <w:lang w:val="es-CR"/>
              </w:rPr>
              <w:t>.</w:t>
            </w:r>
            <w:r w:rsidR="005E4D8A" w:rsidRPr="007C4F4E">
              <w:rPr>
                <w:rFonts w:ascii="Calibri" w:hAnsi="Calibri" w:cs="Arial"/>
                <w:lang w:val="es-CR"/>
              </w:rPr>
              <w:t xml:space="preserve"> </w:t>
            </w:r>
            <w:r w:rsidRPr="007C4F4E">
              <w:rPr>
                <w:rFonts w:ascii="Calibri" w:hAnsi="Calibri" w:cs="Arial"/>
                <w:lang w:val="es-CR"/>
              </w:rPr>
              <w:t>Debe revisarse la baja ejecución de la partida Bienes Duraderos frente a las necesidades de infraestructura de este régimen.</w:t>
            </w:r>
          </w:p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B678E2">
              <w:rPr>
                <w:rFonts w:ascii="Calibri" w:hAnsi="Calibri" w:cs="Arial"/>
                <w:lang w:val="es-CR"/>
              </w:rPr>
              <w:t xml:space="preserve">En el Régimen de </w:t>
            </w:r>
            <w:r>
              <w:rPr>
                <w:rFonts w:ascii="Calibri" w:hAnsi="Calibri" w:cs="Arial"/>
                <w:lang w:val="es-CR"/>
              </w:rPr>
              <w:t>IVM</w:t>
            </w:r>
            <w:r w:rsidRPr="00B678E2">
              <w:rPr>
                <w:rFonts w:ascii="Calibri" w:hAnsi="Calibri" w:cs="Arial"/>
                <w:lang w:val="es-CR"/>
              </w:rPr>
              <w:t>, los ingresos por contribuciones sociales también muestran una tendencia de crecimiento decreciente, frente a un crecimiento del 12,4% en la partida a la que se cargan las pensiones.</w:t>
            </w:r>
          </w:p>
          <w:p w:rsidR="007C4F4E" w:rsidRDefault="007C4F4E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7C4F4E">
              <w:rPr>
                <w:rFonts w:ascii="Calibri" w:hAnsi="Calibri" w:cs="Arial"/>
                <w:lang w:val="es-CR"/>
              </w:rPr>
              <w:t>En 2016 parte del superávit específico correspondiente a la Ley General de Control de Tabaco, Red Oncológica y Proyectos especiales se utilizará para adquirir títulos valores a largo plazo, debido a que la lista de proyectos se encuentran en planificación y la fecha prevista para la ejecución es el año 2017.</w:t>
            </w:r>
          </w:p>
          <w:p w:rsidR="009F2E1D" w:rsidRPr="00B678E2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B678E2">
              <w:rPr>
                <w:rFonts w:ascii="Calibri" w:hAnsi="Calibri" w:cs="Arial"/>
                <w:lang w:val="es-CR"/>
              </w:rPr>
              <w:t>La planificación y asignación de recursos de la CCSS se orienta hacia las unidades ejecutoras como entes individualizados, y no responde al modelo de atención vigente por niveles de atención y redes de servicios.</w:t>
            </w:r>
          </w:p>
        </w:tc>
      </w:tr>
      <w:tr w:rsidR="009F2E1D" w:rsidRPr="00284EC1" w:rsidTr="00875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F2E1D" w:rsidRPr="00284EC1" w:rsidRDefault="009F2E1D" w:rsidP="0087591F">
            <w:pPr>
              <w:jc w:val="center"/>
              <w:rPr>
                <w:rFonts w:ascii="Calibri" w:hAnsi="Calibri" w:cs="Arial"/>
                <w:b/>
                <w:lang w:val="es-CR"/>
              </w:rPr>
            </w:pPr>
            <w:r w:rsidRPr="00284EC1">
              <w:rPr>
                <w:rFonts w:ascii="Calibri" w:hAnsi="Calibri" w:cs="Arial"/>
                <w:b/>
                <w:lang w:val="es-CR"/>
              </w:rPr>
              <w:t>RECOPE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>Pr</w:t>
            </w:r>
            <w:r w:rsidRPr="00B678E2">
              <w:rPr>
                <w:rFonts w:ascii="Calibri" w:hAnsi="Calibri" w:cs="Arial"/>
                <w:lang w:val="es-CR"/>
              </w:rPr>
              <w:t>esupuesto</w:t>
            </w:r>
            <w:r>
              <w:rPr>
                <w:rFonts w:ascii="Calibri" w:hAnsi="Calibri" w:cs="Arial"/>
                <w:lang w:val="es-CR"/>
              </w:rPr>
              <w:t>:</w:t>
            </w:r>
            <w:r w:rsidRPr="00B678E2">
              <w:rPr>
                <w:rFonts w:ascii="Calibri" w:hAnsi="Calibri" w:cs="Arial"/>
                <w:lang w:val="es-CR"/>
              </w:rPr>
              <w:t xml:space="preserve"> ¢1.336.529 millones</w:t>
            </w:r>
            <w:r>
              <w:rPr>
                <w:rFonts w:ascii="Calibri" w:hAnsi="Calibri" w:cs="Arial"/>
                <w:lang w:val="es-CR"/>
              </w:rPr>
              <w:t>.</w:t>
            </w:r>
          </w:p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B678E2">
              <w:rPr>
                <w:rFonts w:ascii="Calibri" w:hAnsi="Calibri" w:cs="Arial"/>
                <w:lang w:val="es-CR"/>
              </w:rPr>
              <w:t xml:space="preserve">Las inversiones </w:t>
            </w:r>
            <w:r>
              <w:rPr>
                <w:rFonts w:ascii="Calibri" w:hAnsi="Calibri" w:cs="Arial"/>
                <w:lang w:val="es-CR"/>
              </w:rPr>
              <w:t xml:space="preserve">de RECOPE </w:t>
            </w:r>
            <w:r w:rsidRPr="00B678E2">
              <w:rPr>
                <w:rFonts w:ascii="Calibri" w:hAnsi="Calibri" w:cs="Arial"/>
                <w:lang w:val="es-CR"/>
              </w:rPr>
              <w:t>se ven afectadas por una menor asignación presupuestaria y subejecución histórica del programa respectivo.</w:t>
            </w:r>
          </w:p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B678E2">
              <w:rPr>
                <w:rFonts w:ascii="Calibri" w:hAnsi="Calibri" w:cs="Arial"/>
                <w:lang w:val="es-CR"/>
              </w:rPr>
              <w:t>La Contraloría improbó gastos derivados de la Convención Colectiva, por no contar con fuente de ingresos que los financie.</w:t>
            </w:r>
          </w:p>
          <w:p w:rsidR="005E4D8A" w:rsidRPr="00284EC1" w:rsidRDefault="005E4D8A" w:rsidP="00F104E6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>P</w:t>
            </w:r>
            <w:r w:rsidRPr="005E4D8A">
              <w:rPr>
                <w:rFonts w:ascii="Calibri" w:hAnsi="Calibri" w:cs="Arial"/>
                <w:lang w:val="es-CR"/>
              </w:rPr>
              <w:t>reocupa al Órgano Contralor que a la fecha no se hayan concretado acciones que permitan decidir sobre el futuro del proyecto</w:t>
            </w:r>
            <w:r w:rsidR="00F104E6">
              <w:rPr>
                <w:rFonts w:ascii="Calibri" w:hAnsi="Calibri" w:cs="Arial"/>
                <w:lang w:val="es-CR"/>
              </w:rPr>
              <w:t xml:space="preserve"> de ampliación y modernización de la Refinería de Moín;</w:t>
            </w:r>
            <w:r w:rsidRPr="005E4D8A">
              <w:rPr>
                <w:rFonts w:ascii="Calibri" w:hAnsi="Calibri" w:cs="Arial"/>
                <w:lang w:val="es-CR"/>
              </w:rPr>
              <w:t xml:space="preserve"> mientras tanto, la Empresa Conjunta </w:t>
            </w:r>
            <w:r w:rsidR="00625E01">
              <w:rPr>
                <w:rFonts w:ascii="Calibri" w:hAnsi="Calibri" w:cs="Arial"/>
                <w:lang w:val="es-CR"/>
              </w:rPr>
              <w:t xml:space="preserve">(SORESCO) </w:t>
            </w:r>
            <w:r w:rsidRPr="005E4D8A">
              <w:rPr>
                <w:rFonts w:ascii="Calibri" w:hAnsi="Calibri" w:cs="Arial"/>
                <w:lang w:val="es-CR"/>
              </w:rPr>
              <w:t>opera en parte con fondos aportados por la Refinadora.</w:t>
            </w:r>
          </w:p>
        </w:tc>
      </w:tr>
      <w:tr w:rsidR="009F2E1D" w:rsidRPr="00284EC1" w:rsidTr="00875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F2E1D" w:rsidRPr="00284EC1" w:rsidRDefault="009F2E1D" w:rsidP="0087591F">
            <w:pPr>
              <w:jc w:val="center"/>
              <w:rPr>
                <w:rFonts w:ascii="Calibri" w:hAnsi="Calibri" w:cs="Arial"/>
                <w:b/>
                <w:lang w:val="es-CR"/>
              </w:rPr>
            </w:pPr>
            <w:r w:rsidRPr="00284EC1">
              <w:rPr>
                <w:rFonts w:ascii="Calibri" w:hAnsi="Calibri" w:cs="Arial"/>
                <w:b/>
                <w:lang w:val="es-CR"/>
              </w:rPr>
              <w:t>INS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B678E2">
              <w:rPr>
                <w:rFonts w:ascii="Calibri" w:hAnsi="Calibri" w:cs="Arial"/>
                <w:lang w:val="es-CR"/>
              </w:rPr>
              <w:t>P</w:t>
            </w:r>
            <w:r>
              <w:rPr>
                <w:rFonts w:ascii="Calibri" w:hAnsi="Calibri" w:cs="Arial"/>
                <w:lang w:val="es-CR"/>
              </w:rPr>
              <w:t>resupuesto:</w:t>
            </w:r>
            <w:r w:rsidRPr="00B678E2">
              <w:rPr>
                <w:rFonts w:ascii="Calibri" w:hAnsi="Calibri" w:cs="Arial"/>
                <w:lang w:val="es-CR"/>
              </w:rPr>
              <w:t xml:space="preserve"> ¢1.064.523 millones.</w:t>
            </w:r>
          </w:p>
          <w:p w:rsidR="009F2E1D" w:rsidRPr="00284EC1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>S</w:t>
            </w:r>
            <w:r w:rsidRPr="00B678E2">
              <w:rPr>
                <w:rFonts w:ascii="Calibri" w:hAnsi="Calibri" w:cs="Arial"/>
                <w:lang w:val="es-CR"/>
              </w:rPr>
              <w:t>e eliminan los pluses en salarios de nuevos empleados, al tiempo que ya no se incorpora el programa asociado al Hospital del Trauma, y se imprueba la transferencia de ¢5.000 millones al Programa Mi Primer Empleo.</w:t>
            </w:r>
          </w:p>
        </w:tc>
      </w:tr>
      <w:tr w:rsidR="009F2E1D" w:rsidRPr="00284EC1" w:rsidTr="00875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2E1D" w:rsidRPr="00284EC1" w:rsidRDefault="009F2E1D" w:rsidP="0087591F">
            <w:pPr>
              <w:jc w:val="center"/>
              <w:rPr>
                <w:rFonts w:ascii="Calibri" w:hAnsi="Calibri" w:cs="Arial"/>
                <w:b/>
                <w:lang w:val="es-CR"/>
              </w:rPr>
            </w:pPr>
            <w:r w:rsidRPr="00284EC1">
              <w:rPr>
                <w:rFonts w:ascii="Calibri" w:hAnsi="Calibri" w:cs="Arial"/>
                <w:b/>
                <w:lang w:val="es-CR"/>
              </w:rPr>
              <w:t>ICE</w:t>
            </w:r>
          </w:p>
          <w:p w:rsidR="009F2E1D" w:rsidRPr="00284EC1" w:rsidRDefault="009F2E1D" w:rsidP="0087591F">
            <w:pPr>
              <w:jc w:val="center"/>
              <w:rPr>
                <w:rFonts w:ascii="Calibri" w:hAnsi="Calibri" w:cs="Arial"/>
                <w:b/>
                <w:lang w:val="es-CR"/>
              </w:rPr>
            </w:pP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 xml:space="preserve">Presupuesto: </w:t>
            </w:r>
            <w:r w:rsidRPr="00A465BA">
              <w:rPr>
                <w:rFonts w:ascii="Calibri" w:hAnsi="Calibri" w:cs="Arial"/>
                <w:lang w:val="es-CR"/>
              </w:rPr>
              <w:t>¢1.733.031 millones</w:t>
            </w:r>
            <w:r>
              <w:rPr>
                <w:rFonts w:ascii="Calibri" w:hAnsi="Calibri" w:cs="Arial"/>
                <w:lang w:val="es-CR"/>
              </w:rPr>
              <w:t>.</w:t>
            </w:r>
          </w:p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A465BA">
              <w:rPr>
                <w:rFonts w:ascii="Calibri" w:hAnsi="Calibri" w:cs="Arial"/>
                <w:lang w:val="es-CR"/>
              </w:rPr>
              <w:t>El presupuesto del ICE se reduce a partir del año 2013, reflejando al 2016 una disminución de un 13,3%.</w:t>
            </w:r>
          </w:p>
          <w:p w:rsidR="005E4D8A" w:rsidRPr="00284EC1" w:rsidRDefault="005E4D8A" w:rsidP="00112AD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5E4D8A">
              <w:rPr>
                <w:rFonts w:ascii="Calibri" w:hAnsi="Calibri" w:cs="Arial"/>
                <w:lang w:val="es-CR"/>
              </w:rPr>
              <w:t>Ante las condiciones financieras que han presentado el ICE y sus empresas en los años recientes, y por su entrada a un mercado en competencia en el caso del Sector Tel</w:t>
            </w:r>
            <w:r w:rsidR="00112AD9">
              <w:rPr>
                <w:rFonts w:ascii="Calibri" w:hAnsi="Calibri" w:cs="Arial"/>
                <w:lang w:val="es-CR"/>
              </w:rPr>
              <w:t>ecomunicaciones.</w:t>
            </w:r>
            <w:bookmarkStart w:id="0" w:name="_GoBack"/>
            <w:bookmarkEnd w:id="0"/>
          </w:p>
        </w:tc>
      </w:tr>
      <w:tr w:rsidR="009F2E1D" w:rsidRPr="00284EC1" w:rsidTr="00875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F2E1D" w:rsidRPr="00284EC1" w:rsidRDefault="009F2E1D" w:rsidP="0087591F">
            <w:pPr>
              <w:jc w:val="center"/>
              <w:rPr>
                <w:rFonts w:ascii="Calibri" w:hAnsi="Calibri" w:cs="Arial"/>
                <w:b/>
                <w:lang w:val="es-CR"/>
              </w:rPr>
            </w:pPr>
            <w:r w:rsidRPr="00284EC1">
              <w:rPr>
                <w:rFonts w:ascii="Calibri" w:hAnsi="Calibri" w:cs="Arial"/>
                <w:b/>
                <w:lang w:val="es-CR"/>
              </w:rPr>
              <w:t xml:space="preserve">MOPT Y CONSEJOS </w:t>
            </w:r>
            <w:r>
              <w:rPr>
                <w:rFonts w:ascii="Calibri" w:hAnsi="Calibri" w:cs="Arial"/>
                <w:b/>
                <w:lang w:val="es-CR"/>
              </w:rPr>
              <w:t>DE T</w:t>
            </w:r>
            <w:r w:rsidRPr="00284EC1">
              <w:rPr>
                <w:rFonts w:ascii="Calibri" w:hAnsi="Calibri" w:cs="Arial"/>
                <w:b/>
                <w:lang w:val="es-CR"/>
              </w:rPr>
              <w:t>RANSPORTE</w:t>
            </w:r>
          </w:p>
          <w:p w:rsidR="009F2E1D" w:rsidRPr="00284EC1" w:rsidRDefault="009F2E1D" w:rsidP="0087591F">
            <w:pPr>
              <w:jc w:val="center"/>
              <w:rPr>
                <w:rFonts w:ascii="Calibri" w:hAnsi="Calibri" w:cs="Arial"/>
                <w:b/>
                <w:lang w:val="es-CR"/>
              </w:rPr>
            </w:pP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D" w:rsidRDefault="009F2E1D" w:rsidP="009F2E1D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 xml:space="preserve">Presupuesto del MOPT: </w:t>
            </w:r>
            <w:r w:rsidRPr="008E6106">
              <w:rPr>
                <w:rFonts w:ascii="Calibri" w:hAnsi="Calibri" w:cs="Arial"/>
                <w:lang w:val="es-CR"/>
              </w:rPr>
              <w:t>¢338.915 millones</w:t>
            </w:r>
            <w:r>
              <w:rPr>
                <w:rFonts w:ascii="Calibri" w:hAnsi="Calibri" w:cs="Arial"/>
                <w:lang w:val="es-CR"/>
              </w:rPr>
              <w:t>.</w:t>
            </w:r>
          </w:p>
          <w:p w:rsidR="009F2E1D" w:rsidRDefault="009F2E1D" w:rsidP="009F2E1D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lang w:val="es-CR"/>
              </w:rPr>
            </w:pPr>
            <w:r w:rsidRPr="008E6106">
              <w:rPr>
                <w:rFonts w:ascii="Calibri" w:hAnsi="Calibri" w:cs="Arial"/>
                <w:lang w:val="es-CR"/>
              </w:rPr>
              <w:t>Dentro de los proyectos en los programas del MOPT, pueden destacarse los siguientes: a) Transferencia a CONAVI para la construcción del Puente Binacional Panamá-Costa Rica, b) Reforzamiento del Rompeolas de Caldera, c) Mejoramiento de las terminales de Transbordadores del Golfo de Nicoya y d) Construcción del Nuevo Edificio del MOPT.</w:t>
            </w:r>
          </w:p>
          <w:p w:rsidR="009F2E1D" w:rsidRPr="00284EC1" w:rsidRDefault="009F2E1D" w:rsidP="00655A1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lang w:val="es-CR"/>
              </w:rPr>
            </w:pPr>
            <w:r w:rsidRPr="008E6106">
              <w:rPr>
                <w:rFonts w:ascii="Calibri" w:hAnsi="Calibri" w:cs="Arial"/>
                <w:lang w:val="es-CR"/>
              </w:rPr>
              <w:t>La baja ejecución de los presupuestos del MOPT y sus Consejos</w:t>
            </w:r>
            <w:r w:rsidR="005E4D8A">
              <w:rPr>
                <w:rFonts w:ascii="Calibri" w:hAnsi="Calibri" w:cs="Arial"/>
                <w:lang w:val="es-CR"/>
              </w:rPr>
              <w:t xml:space="preserve"> </w:t>
            </w:r>
            <w:r w:rsidRPr="008E6106">
              <w:rPr>
                <w:rFonts w:ascii="Calibri" w:hAnsi="Calibri" w:cs="Arial"/>
                <w:lang w:val="es-CR"/>
              </w:rPr>
              <w:t>impact</w:t>
            </w:r>
            <w:r>
              <w:rPr>
                <w:rFonts w:ascii="Calibri" w:hAnsi="Calibri" w:cs="Arial"/>
                <w:lang w:val="es-CR"/>
              </w:rPr>
              <w:t>a</w:t>
            </w:r>
            <w:r w:rsidRPr="008E6106">
              <w:rPr>
                <w:rFonts w:ascii="Calibri" w:hAnsi="Calibri" w:cs="Arial"/>
                <w:lang w:val="es-CR"/>
              </w:rPr>
              <w:t xml:space="preserve"> </w:t>
            </w:r>
            <w:r w:rsidR="005E4D8A">
              <w:rPr>
                <w:rFonts w:ascii="Calibri" w:hAnsi="Calibri" w:cs="Arial"/>
                <w:lang w:val="es-CR"/>
              </w:rPr>
              <w:t>el desarrollo de infraestructura; s</w:t>
            </w:r>
            <w:r w:rsidR="005E4D8A" w:rsidRPr="005E4D8A">
              <w:rPr>
                <w:rFonts w:ascii="Calibri" w:hAnsi="Calibri" w:cs="Arial"/>
                <w:lang w:val="es-CR"/>
              </w:rPr>
              <w:t>egún el Informe de Competitividad Global 2015-2016 del Foro Económico Mundial, el país se ubica en la posición 115 entre 140 países evaluados en el pilar de calidad de carreteras</w:t>
            </w:r>
            <w:r w:rsidRPr="008E6106">
              <w:rPr>
                <w:rFonts w:ascii="Calibri" w:hAnsi="Calibri" w:cs="Arial"/>
                <w:lang w:val="es-CR"/>
              </w:rPr>
              <w:t>.</w:t>
            </w:r>
          </w:p>
        </w:tc>
      </w:tr>
      <w:tr w:rsidR="009F2E1D" w:rsidRPr="00284EC1" w:rsidTr="00875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2E1D" w:rsidRPr="00284EC1" w:rsidRDefault="009F2E1D" w:rsidP="0087591F">
            <w:pPr>
              <w:jc w:val="center"/>
              <w:rPr>
                <w:rFonts w:ascii="Calibri" w:hAnsi="Calibri" w:cs="Arial"/>
                <w:b/>
                <w:lang w:val="es-CR"/>
              </w:rPr>
            </w:pPr>
            <w:r w:rsidRPr="00284EC1">
              <w:rPr>
                <w:rFonts w:ascii="Calibri" w:hAnsi="Calibri" w:cs="Arial"/>
                <w:b/>
                <w:lang w:val="es-CR"/>
              </w:rPr>
              <w:t>FODESAF</w:t>
            </w:r>
          </w:p>
          <w:p w:rsidR="009F2E1D" w:rsidRPr="00284EC1" w:rsidRDefault="009F2E1D" w:rsidP="0087591F">
            <w:pPr>
              <w:jc w:val="center"/>
              <w:rPr>
                <w:rFonts w:ascii="Calibri" w:hAnsi="Calibri" w:cs="Arial"/>
                <w:b/>
                <w:lang w:val="es-CR"/>
              </w:rPr>
            </w:pP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>Presupuesto:</w:t>
            </w:r>
            <w:r w:rsidRPr="00B36636">
              <w:rPr>
                <w:rFonts w:ascii="Calibri" w:hAnsi="Calibri" w:cs="Arial"/>
                <w:lang w:val="es-CR"/>
              </w:rPr>
              <w:t xml:space="preserve"> ¢559.144 millones</w:t>
            </w:r>
            <w:r>
              <w:rPr>
                <w:rFonts w:ascii="Calibri" w:hAnsi="Calibri" w:cs="Arial"/>
                <w:lang w:val="es-CR"/>
              </w:rPr>
              <w:t>.</w:t>
            </w:r>
          </w:p>
          <w:p w:rsidR="009F2E1D" w:rsidRPr="00284EC1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B36636">
              <w:rPr>
                <w:rFonts w:ascii="Calibri" w:hAnsi="Calibri" w:cs="Arial"/>
                <w:lang w:val="es-CR"/>
              </w:rPr>
              <w:t xml:space="preserve">Las autoridades del Fondo tienen </w:t>
            </w:r>
            <w:r>
              <w:rPr>
                <w:rFonts w:ascii="Calibri" w:hAnsi="Calibri" w:cs="Arial"/>
                <w:lang w:val="es-CR"/>
              </w:rPr>
              <w:t xml:space="preserve">el </w:t>
            </w:r>
            <w:r w:rsidRPr="00B36636">
              <w:rPr>
                <w:rFonts w:ascii="Calibri" w:hAnsi="Calibri" w:cs="Arial"/>
                <w:lang w:val="es-CR"/>
              </w:rPr>
              <w:t xml:space="preserve">reto de garantizar una distribución de los recursos </w:t>
            </w:r>
            <w:r w:rsidRPr="00B36636">
              <w:rPr>
                <w:rFonts w:ascii="Calibri" w:hAnsi="Calibri" w:cs="Arial"/>
                <w:lang w:val="es-CR"/>
              </w:rPr>
              <w:lastRenderedPageBreak/>
              <w:t>idónea, que cumpla con los mandatos establecidos por ley y no afecte la ejecución de programas sensibles para la población en pobreza o pobreza extrema.</w:t>
            </w:r>
          </w:p>
        </w:tc>
      </w:tr>
      <w:tr w:rsidR="009F2E1D" w:rsidRPr="00284EC1" w:rsidTr="0087591F">
        <w:trPr>
          <w:trHeight w:val="13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F2E1D" w:rsidRPr="00284EC1" w:rsidRDefault="009F2E1D" w:rsidP="0087591F">
            <w:pPr>
              <w:jc w:val="center"/>
              <w:rPr>
                <w:rFonts w:ascii="Calibri" w:hAnsi="Calibri" w:cs="Arial"/>
                <w:b/>
                <w:lang w:val="es-CR"/>
              </w:rPr>
            </w:pPr>
            <w:r>
              <w:rPr>
                <w:rFonts w:ascii="Calibri" w:hAnsi="Calibri" w:cs="Arial"/>
                <w:b/>
                <w:lang w:val="es-CR"/>
              </w:rPr>
              <w:lastRenderedPageBreak/>
              <w:t>IMAS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>Presupuesto:</w:t>
            </w:r>
            <w:r w:rsidRPr="00AD1986">
              <w:rPr>
                <w:rFonts w:ascii="Calibri" w:hAnsi="Calibri" w:cs="Arial"/>
                <w:lang w:val="es-CR"/>
              </w:rPr>
              <w:t xml:space="preserve"> ¢181.487 millones</w:t>
            </w:r>
            <w:r>
              <w:rPr>
                <w:rFonts w:ascii="Calibri" w:hAnsi="Calibri" w:cs="Arial"/>
                <w:lang w:val="es-CR"/>
              </w:rPr>
              <w:t>.</w:t>
            </w:r>
          </w:p>
          <w:p w:rsidR="009F2E1D" w:rsidRPr="00284EC1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AD1986">
              <w:rPr>
                <w:rFonts w:ascii="Calibri" w:hAnsi="Calibri" w:cs="Arial"/>
                <w:lang w:val="es-CR"/>
              </w:rPr>
              <w:t>La baja ejecución de recursos en programas sociales (Red de Cuido Infantil, Avancemos y otros) durante el periodo 2015 incrementó los saldos por concepto de superávit del periodo 2016 en un 57,2%, alcanzando la suma de ¢13.538 millones.</w:t>
            </w:r>
          </w:p>
        </w:tc>
      </w:tr>
      <w:tr w:rsidR="009F2E1D" w:rsidRPr="00284EC1" w:rsidTr="00875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2E1D" w:rsidRPr="00284EC1" w:rsidRDefault="009F2E1D" w:rsidP="0087591F">
            <w:pPr>
              <w:ind w:left="142"/>
              <w:jc w:val="center"/>
              <w:rPr>
                <w:rFonts w:ascii="Calibri" w:hAnsi="Calibri" w:cs="Arial"/>
                <w:b/>
                <w:lang w:val="es-CR"/>
              </w:rPr>
            </w:pPr>
            <w:r w:rsidRPr="00284EC1">
              <w:rPr>
                <w:rFonts w:ascii="Calibri" w:hAnsi="Calibri" w:cs="Arial"/>
                <w:b/>
                <w:lang w:val="es-CR"/>
              </w:rPr>
              <w:t>Entidades de Educación Superior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6C0457" w:rsidRDefault="009F2E1D" w:rsidP="009F2E1D">
            <w:pPr>
              <w:numPr>
                <w:ilvl w:val="0"/>
                <w:numId w:val="1"/>
              </w:numPr>
              <w:jc w:val="both"/>
              <w:rPr>
                <w:lang w:val="es-CR"/>
              </w:rPr>
            </w:pPr>
            <w:r w:rsidRPr="005A728D">
              <w:rPr>
                <w:rFonts w:ascii="Calibri" w:hAnsi="Calibri" w:cs="Arial"/>
                <w:lang w:val="es-CR"/>
              </w:rPr>
              <w:t>P</w:t>
            </w:r>
            <w:r>
              <w:rPr>
                <w:rFonts w:ascii="Calibri" w:hAnsi="Calibri" w:cs="Arial"/>
                <w:lang w:val="es-CR"/>
              </w:rPr>
              <w:t xml:space="preserve">resupuesto conjunto: </w:t>
            </w:r>
            <w:r w:rsidRPr="005A728D">
              <w:rPr>
                <w:rFonts w:ascii="Calibri" w:hAnsi="Calibri" w:cs="Arial"/>
                <w:lang w:val="es-CR"/>
              </w:rPr>
              <w:t>¢612.972 millones</w:t>
            </w:r>
            <w:r>
              <w:rPr>
                <w:rFonts w:ascii="Calibri" w:hAnsi="Calibri" w:cs="Arial"/>
                <w:lang w:val="es-CR"/>
              </w:rPr>
              <w:t>.</w:t>
            </w:r>
          </w:p>
          <w:p w:rsidR="009F2E1D" w:rsidRPr="006C0457" w:rsidRDefault="009F2E1D" w:rsidP="009F2E1D">
            <w:pPr>
              <w:numPr>
                <w:ilvl w:val="0"/>
                <w:numId w:val="1"/>
              </w:numPr>
              <w:jc w:val="both"/>
              <w:rPr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 xml:space="preserve">En </w:t>
            </w:r>
            <w:r w:rsidRPr="005A728D">
              <w:rPr>
                <w:rFonts w:ascii="Calibri" w:hAnsi="Calibri" w:cs="Arial"/>
                <w:lang w:val="es-CR"/>
              </w:rPr>
              <w:t>2015, el superávit de las entidades de educación superior ascendió a ¢111.862 millones.</w:t>
            </w:r>
          </w:p>
          <w:p w:rsidR="009F2E1D" w:rsidRPr="006C0457" w:rsidRDefault="009F2E1D" w:rsidP="009F2E1D">
            <w:pPr>
              <w:numPr>
                <w:ilvl w:val="0"/>
                <w:numId w:val="1"/>
              </w:numPr>
              <w:jc w:val="both"/>
              <w:rPr>
                <w:lang w:val="es-CR"/>
              </w:rPr>
            </w:pPr>
            <w:r w:rsidRPr="005A728D">
              <w:rPr>
                <w:rFonts w:ascii="Calibri" w:hAnsi="Calibri" w:cs="Arial"/>
                <w:lang w:val="es-CR"/>
              </w:rPr>
              <w:t>La</w:t>
            </w:r>
            <w:r>
              <w:rPr>
                <w:rFonts w:ascii="Calibri" w:hAnsi="Calibri" w:cs="Arial"/>
                <w:lang w:val="es-CR"/>
              </w:rPr>
              <w:t>s r</w:t>
            </w:r>
            <w:r w:rsidRPr="005A728D">
              <w:rPr>
                <w:rFonts w:ascii="Calibri" w:hAnsi="Calibri" w:cs="Arial"/>
                <w:lang w:val="es-CR"/>
              </w:rPr>
              <w:t>emuneraciones absorbe</w:t>
            </w:r>
            <w:r>
              <w:rPr>
                <w:rFonts w:ascii="Calibri" w:hAnsi="Calibri" w:cs="Arial"/>
                <w:lang w:val="es-CR"/>
              </w:rPr>
              <w:t>n</w:t>
            </w:r>
            <w:r w:rsidRPr="005A728D">
              <w:rPr>
                <w:rFonts w:ascii="Calibri" w:hAnsi="Calibri" w:cs="Arial"/>
                <w:lang w:val="es-CR"/>
              </w:rPr>
              <w:t xml:space="preserve"> el 62% del total presupuestado y </w:t>
            </w:r>
            <w:r>
              <w:rPr>
                <w:rFonts w:ascii="Calibri" w:hAnsi="Calibri" w:cs="Arial"/>
                <w:lang w:val="es-CR"/>
              </w:rPr>
              <w:t xml:space="preserve">crecen un </w:t>
            </w:r>
            <w:r w:rsidRPr="005A728D">
              <w:rPr>
                <w:rFonts w:ascii="Calibri" w:hAnsi="Calibri" w:cs="Arial"/>
                <w:lang w:val="es-CR"/>
              </w:rPr>
              <w:t xml:space="preserve">12,3% respecto al ejecutado </w:t>
            </w:r>
            <w:r>
              <w:rPr>
                <w:rFonts w:ascii="Calibri" w:hAnsi="Calibri" w:cs="Arial"/>
                <w:lang w:val="es-CR"/>
              </w:rPr>
              <w:t xml:space="preserve">en </w:t>
            </w:r>
            <w:r w:rsidRPr="005A728D">
              <w:rPr>
                <w:rFonts w:ascii="Calibri" w:hAnsi="Calibri" w:cs="Arial"/>
                <w:lang w:val="es-CR"/>
              </w:rPr>
              <w:t>2015.</w:t>
            </w:r>
          </w:p>
          <w:p w:rsidR="009F2E1D" w:rsidRPr="00AE736F" w:rsidRDefault="00F43491" w:rsidP="00F43491">
            <w:pPr>
              <w:numPr>
                <w:ilvl w:val="0"/>
                <w:numId w:val="1"/>
              </w:numPr>
              <w:jc w:val="both"/>
              <w:rPr>
                <w:lang w:val="es-CR"/>
              </w:rPr>
            </w:pPr>
            <w:r w:rsidRPr="00F43491">
              <w:rPr>
                <w:rFonts w:ascii="Calibri" w:hAnsi="Calibri" w:cs="Arial"/>
                <w:lang w:val="es-CR"/>
              </w:rPr>
              <w:t>La partida de Bienes Duraderos absorbe el 15,5% de los recursos asignados en el 2016, muestra un crecimiento del 172,0% respecto al ejecutado 2015</w:t>
            </w:r>
            <w:r>
              <w:rPr>
                <w:rFonts w:ascii="Calibri" w:hAnsi="Calibri" w:cs="Arial"/>
                <w:lang w:val="es-CR"/>
              </w:rPr>
              <w:t xml:space="preserve">. </w:t>
            </w:r>
            <w:r w:rsidRPr="00F43491">
              <w:rPr>
                <w:rFonts w:ascii="Calibri" w:hAnsi="Calibri" w:cs="Arial"/>
                <w:lang w:val="es-CR"/>
              </w:rPr>
              <w:t xml:space="preserve">La partida de Bienes Duraderos </w:t>
            </w:r>
            <w:r>
              <w:rPr>
                <w:rFonts w:ascii="Calibri" w:hAnsi="Calibri" w:cs="Arial"/>
                <w:lang w:val="es-CR"/>
              </w:rPr>
              <w:t xml:space="preserve">ha mostrado </w:t>
            </w:r>
            <w:r w:rsidRPr="00F43491">
              <w:rPr>
                <w:rFonts w:ascii="Calibri" w:hAnsi="Calibri" w:cs="Arial"/>
                <w:lang w:val="es-CR"/>
              </w:rPr>
              <w:t xml:space="preserve">tradicionalmente una </w:t>
            </w:r>
            <w:r>
              <w:rPr>
                <w:rFonts w:ascii="Calibri" w:hAnsi="Calibri" w:cs="Arial"/>
                <w:lang w:val="es-CR"/>
              </w:rPr>
              <w:t xml:space="preserve">baja </w:t>
            </w:r>
            <w:r w:rsidRPr="00F43491">
              <w:rPr>
                <w:rFonts w:ascii="Calibri" w:hAnsi="Calibri" w:cs="Arial"/>
                <w:lang w:val="es-CR"/>
              </w:rPr>
              <w:t>ejecución, la cual se ubica en promedio en un 35,0%.</w:t>
            </w:r>
          </w:p>
        </w:tc>
      </w:tr>
      <w:tr w:rsidR="009F2E1D" w:rsidRPr="00284EC1" w:rsidTr="00875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2E1D" w:rsidRPr="00284EC1" w:rsidRDefault="009F2E1D" w:rsidP="0087591F">
            <w:pPr>
              <w:ind w:left="142"/>
              <w:jc w:val="center"/>
              <w:rPr>
                <w:rFonts w:ascii="Calibri" w:hAnsi="Calibri" w:cs="Arial"/>
                <w:b/>
                <w:lang w:val="es-CR"/>
              </w:rPr>
            </w:pPr>
            <w:r>
              <w:rPr>
                <w:rFonts w:ascii="Calibri" w:hAnsi="Calibri" w:cs="Arial"/>
                <w:b/>
                <w:lang w:val="es-CR"/>
              </w:rPr>
              <w:t>CNFL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 xml:space="preserve">Presupuesto: </w:t>
            </w:r>
            <w:r w:rsidRPr="00FA7BF2">
              <w:rPr>
                <w:rFonts w:ascii="Calibri" w:hAnsi="Calibri" w:cs="Arial"/>
                <w:lang w:val="es-CR"/>
              </w:rPr>
              <w:t>¢278.488 millones</w:t>
            </w:r>
            <w:r>
              <w:rPr>
                <w:rFonts w:ascii="Calibri" w:hAnsi="Calibri" w:cs="Arial"/>
                <w:lang w:val="es-CR"/>
              </w:rPr>
              <w:t>.</w:t>
            </w:r>
          </w:p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FA7BF2">
              <w:rPr>
                <w:rFonts w:ascii="Calibri" w:hAnsi="Calibri" w:cs="Arial"/>
                <w:lang w:val="es-CR"/>
              </w:rPr>
              <w:t>La Contraloría improbó gastos derivados de convenciones colectivas y costos de operación y mantenimiento de obras para la producción de energía, por exclusión en el reconocimiento tarifario por parte de ARESEP.</w:t>
            </w:r>
          </w:p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FA7BF2">
              <w:rPr>
                <w:rFonts w:ascii="Calibri" w:hAnsi="Calibri" w:cs="Arial"/>
                <w:lang w:val="es-CR"/>
              </w:rPr>
              <w:t>Se observa una reducción de la partida de remuneraciones por ¢2.470 millones, justificada en la modificación de la estructura organizativa y reducción de plazas.</w:t>
            </w:r>
          </w:p>
          <w:p w:rsidR="009F2E1D" w:rsidRPr="00284EC1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FA7BF2">
              <w:rPr>
                <w:rFonts w:ascii="Calibri" w:hAnsi="Calibri" w:cs="Arial"/>
                <w:lang w:val="es-CR"/>
              </w:rPr>
              <w:t>La Contraloría emitió en 2015 un informe acerca del Desarrollo y Operación del Parque Eólico Valle Central, en el cual se determinó que, desde sus orígenes, no estuvo clara la necesidad de ese proyecto</w:t>
            </w:r>
            <w:r>
              <w:rPr>
                <w:rFonts w:ascii="Calibri" w:hAnsi="Calibri" w:cs="Arial"/>
                <w:lang w:val="es-CR"/>
              </w:rPr>
              <w:t>.</w:t>
            </w:r>
          </w:p>
        </w:tc>
      </w:tr>
      <w:tr w:rsidR="009F2E1D" w:rsidRPr="00284EC1" w:rsidTr="00875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2E1D" w:rsidRPr="00284EC1" w:rsidRDefault="009F2E1D" w:rsidP="0087591F">
            <w:pPr>
              <w:ind w:left="142"/>
              <w:jc w:val="center"/>
              <w:rPr>
                <w:rFonts w:ascii="Calibri" w:hAnsi="Calibri" w:cs="Arial"/>
                <w:b/>
                <w:lang w:val="es-CR"/>
              </w:rPr>
            </w:pPr>
            <w:r>
              <w:rPr>
                <w:rFonts w:ascii="Calibri" w:hAnsi="Calibri" w:cs="Arial"/>
                <w:b/>
                <w:lang w:val="es-CR"/>
              </w:rPr>
              <w:t>AyA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 xml:space="preserve">Presupuesto: </w:t>
            </w:r>
            <w:r w:rsidRPr="00FA7BF2">
              <w:rPr>
                <w:rFonts w:ascii="Calibri" w:hAnsi="Calibri" w:cs="Arial"/>
                <w:lang w:val="es-CR"/>
              </w:rPr>
              <w:t>¢199.970 millones</w:t>
            </w:r>
            <w:r>
              <w:rPr>
                <w:rFonts w:ascii="Calibri" w:hAnsi="Calibri" w:cs="Arial"/>
                <w:lang w:val="es-CR"/>
              </w:rPr>
              <w:t>.</w:t>
            </w:r>
          </w:p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>AyA</w:t>
            </w:r>
            <w:r w:rsidRPr="00FA7BF2">
              <w:rPr>
                <w:rFonts w:ascii="Calibri" w:hAnsi="Calibri" w:cs="Arial"/>
                <w:lang w:val="es-CR"/>
              </w:rPr>
              <w:t xml:space="preserve"> muestra una tendencia a la acumulación creciente de superávit</w:t>
            </w:r>
            <w:r>
              <w:rPr>
                <w:rFonts w:ascii="Calibri" w:hAnsi="Calibri" w:cs="Arial"/>
                <w:lang w:val="es-CR"/>
              </w:rPr>
              <w:t>.</w:t>
            </w:r>
          </w:p>
          <w:p w:rsidR="009F2E1D" w:rsidRPr="00284EC1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>Se</w:t>
            </w:r>
            <w:r w:rsidRPr="00FA7BF2">
              <w:rPr>
                <w:rFonts w:ascii="Calibri" w:hAnsi="Calibri" w:cs="Arial"/>
                <w:lang w:val="es-CR"/>
              </w:rPr>
              <w:t xml:space="preserve"> observa una disminución significativa de la asignación presupuestaria para inversiones y el financiamiento de gasto permanente de la entidad (sueldos fijos y servicios especiales) con recursos del superávit.</w:t>
            </w:r>
          </w:p>
        </w:tc>
      </w:tr>
      <w:tr w:rsidR="009F2E1D" w:rsidRPr="00284EC1" w:rsidTr="00875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2E1D" w:rsidRPr="00284EC1" w:rsidRDefault="009F2E1D" w:rsidP="0087591F">
            <w:pPr>
              <w:ind w:left="142"/>
              <w:jc w:val="center"/>
              <w:rPr>
                <w:rFonts w:ascii="Calibri" w:hAnsi="Calibri" w:cs="Arial"/>
                <w:b/>
                <w:lang w:val="es-CR"/>
              </w:rPr>
            </w:pPr>
            <w:r>
              <w:rPr>
                <w:rFonts w:ascii="Calibri" w:hAnsi="Calibri" w:cs="Arial"/>
                <w:b/>
                <w:lang w:val="es-CR"/>
              </w:rPr>
              <w:t>BANHVI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E72906">
              <w:rPr>
                <w:rFonts w:ascii="Calibri" w:hAnsi="Calibri" w:cs="Arial"/>
                <w:lang w:val="es-CR"/>
              </w:rPr>
              <w:t>P</w:t>
            </w:r>
            <w:r>
              <w:rPr>
                <w:rFonts w:ascii="Calibri" w:hAnsi="Calibri" w:cs="Arial"/>
                <w:lang w:val="es-CR"/>
              </w:rPr>
              <w:t xml:space="preserve">resupuesto: </w:t>
            </w:r>
            <w:r w:rsidRPr="00E72906">
              <w:rPr>
                <w:rFonts w:ascii="Calibri" w:hAnsi="Calibri" w:cs="Arial"/>
                <w:lang w:val="es-CR"/>
              </w:rPr>
              <w:t>¢126.868 millones</w:t>
            </w:r>
            <w:r>
              <w:rPr>
                <w:rFonts w:ascii="Calibri" w:hAnsi="Calibri" w:cs="Arial"/>
                <w:lang w:val="es-CR"/>
              </w:rPr>
              <w:t>.</w:t>
            </w:r>
          </w:p>
          <w:p w:rsidR="009F2E1D" w:rsidRPr="00284EC1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E72906">
              <w:rPr>
                <w:rFonts w:ascii="Calibri" w:hAnsi="Calibri" w:cs="Arial"/>
                <w:lang w:val="es-CR"/>
              </w:rPr>
              <w:t>El superávit del 2014 alcanzó la cifra de ¢144.540 millones, siendo la variación anual de un 15%.</w:t>
            </w:r>
          </w:p>
        </w:tc>
      </w:tr>
      <w:tr w:rsidR="009F2E1D" w:rsidRPr="00284EC1" w:rsidTr="00875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2E1D" w:rsidRPr="00284EC1" w:rsidRDefault="009F2E1D" w:rsidP="0087591F">
            <w:pPr>
              <w:jc w:val="center"/>
              <w:rPr>
                <w:rFonts w:ascii="Calibri" w:hAnsi="Calibri" w:cs="Arial"/>
                <w:b/>
                <w:lang w:val="es-CR"/>
              </w:rPr>
            </w:pPr>
            <w:r w:rsidRPr="00284EC1">
              <w:rPr>
                <w:rFonts w:ascii="Calibri" w:hAnsi="Calibri" w:cs="Arial"/>
                <w:b/>
                <w:lang w:val="es-CR"/>
              </w:rPr>
              <w:t>Sector Municipal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 xml:space="preserve">Monto global de los presupuestos: </w:t>
            </w:r>
            <w:r w:rsidRPr="00B31E56">
              <w:rPr>
                <w:rFonts w:ascii="Calibri" w:hAnsi="Calibri" w:cs="Arial"/>
                <w:lang w:val="es-CR"/>
              </w:rPr>
              <w:t>¢408.397 millones.</w:t>
            </w:r>
          </w:p>
          <w:p w:rsidR="009F2E1D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>
              <w:rPr>
                <w:rFonts w:ascii="Calibri" w:hAnsi="Calibri" w:cs="Arial"/>
                <w:lang w:val="es-CR"/>
              </w:rPr>
              <w:t>No se dio</w:t>
            </w:r>
            <w:r w:rsidRPr="00B31E56">
              <w:rPr>
                <w:rFonts w:ascii="Calibri" w:hAnsi="Calibri" w:cs="Arial"/>
                <w:lang w:val="es-CR"/>
              </w:rPr>
              <w:t xml:space="preserve"> trámite al presupuesto de las municipalidades de Belén, Los Chiles, Turrubares y Atenas, mientras que las municipalidades de Naranjo y Golfito no presentaron presupuesto</w:t>
            </w:r>
            <w:r>
              <w:rPr>
                <w:rFonts w:ascii="Calibri" w:hAnsi="Calibri" w:cs="Arial"/>
                <w:lang w:val="es-CR"/>
              </w:rPr>
              <w:t>.</w:t>
            </w:r>
          </w:p>
          <w:p w:rsidR="009F2E1D" w:rsidRPr="002B1A7E" w:rsidRDefault="009F2E1D" w:rsidP="009F2E1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lang w:val="es-CR"/>
              </w:rPr>
            </w:pPr>
            <w:r w:rsidRPr="00B31E56">
              <w:rPr>
                <w:rFonts w:ascii="Calibri" w:hAnsi="Calibri" w:cs="Arial"/>
                <w:lang w:val="es-CR"/>
              </w:rPr>
              <w:t>Los ingresos corrientes mantienen la tendencia de incremento presentada en el periodo 2010-2015, aunque existe riesgo de morosidad en el pago de las obligaciones tributarias por parte de los contribuyentes</w:t>
            </w:r>
            <w:r>
              <w:rPr>
                <w:rFonts w:ascii="Calibri" w:hAnsi="Calibri" w:cs="Arial"/>
                <w:lang w:val="es-CR"/>
              </w:rPr>
              <w:t>.</w:t>
            </w:r>
          </w:p>
        </w:tc>
      </w:tr>
    </w:tbl>
    <w:p w:rsidR="009F2E1D" w:rsidRPr="00284EC1" w:rsidRDefault="009F2E1D" w:rsidP="009F2E1D">
      <w:pPr>
        <w:tabs>
          <w:tab w:val="left" w:pos="8460"/>
          <w:tab w:val="left" w:pos="9000"/>
        </w:tabs>
        <w:ind w:right="-160"/>
        <w:jc w:val="both"/>
        <w:rPr>
          <w:rFonts w:ascii="Calibri" w:hAnsi="Calibri"/>
          <w:lang w:val="es-CR"/>
        </w:rPr>
      </w:pPr>
    </w:p>
    <w:p w:rsidR="009F2E1D" w:rsidRPr="00284EC1" w:rsidRDefault="009F2E1D" w:rsidP="009F2E1D">
      <w:pPr>
        <w:tabs>
          <w:tab w:val="left" w:pos="8460"/>
          <w:tab w:val="left" w:pos="9000"/>
        </w:tabs>
        <w:ind w:right="-160"/>
        <w:jc w:val="both"/>
        <w:rPr>
          <w:rFonts w:ascii="Calibri" w:hAnsi="Calibri"/>
          <w:lang w:val="es-CR"/>
        </w:rPr>
      </w:pPr>
      <w:r w:rsidRPr="00284EC1">
        <w:rPr>
          <w:rFonts w:ascii="Calibri" w:hAnsi="Calibri"/>
          <w:lang w:val="es-CR"/>
        </w:rPr>
        <w:t xml:space="preserve">Para mayor detalle del análisis de cada entidad pública, </w:t>
      </w:r>
      <w:r>
        <w:rPr>
          <w:rFonts w:ascii="Calibri" w:hAnsi="Calibri"/>
          <w:lang w:val="es-CR"/>
        </w:rPr>
        <w:t xml:space="preserve">se </w:t>
      </w:r>
      <w:r w:rsidRPr="00284EC1">
        <w:rPr>
          <w:rFonts w:ascii="Calibri" w:hAnsi="Calibri"/>
          <w:lang w:val="es-CR"/>
        </w:rPr>
        <w:t>puede revisar el documento completo, adjunto.</w:t>
      </w:r>
    </w:p>
    <w:p w:rsidR="00992A53" w:rsidRPr="009F2E1D" w:rsidRDefault="00992A53" w:rsidP="009F2E1D"/>
    <w:sectPr w:rsidR="00992A53" w:rsidRPr="009F2E1D" w:rsidSect="007D21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2D" w:rsidRDefault="00071F2D" w:rsidP="00030520">
      <w:r>
        <w:separator/>
      </w:r>
    </w:p>
  </w:endnote>
  <w:endnote w:type="continuationSeparator" w:id="0">
    <w:p w:rsidR="00071F2D" w:rsidRDefault="00071F2D" w:rsidP="0003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F4" w:rsidRPr="00B72785" w:rsidRDefault="00A60CCA" w:rsidP="00B72785">
    <w:pPr>
      <w:pStyle w:val="Piedepgina"/>
      <w:framePr w:wrap="around" w:vAnchor="text" w:hAnchor="page" w:x="6022" w:y="-79"/>
      <w:rPr>
        <w:rStyle w:val="Nmerodepgina"/>
        <w:rFonts w:ascii="Century Gothic" w:hAnsi="Century Gothic"/>
        <w:sz w:val="20"/>
        <w:szCs w:val="20"/>
      </w:rPr>
    </w:pPr>
    <w:r w:rsidRPr="00B72785">
      <w:rPr>
        <w:rStyle w:val="Nmerodepgina"/>
        <w:rFonts w:ascii="Century Gothic" w:hAnsi="Century Gothic"/>
        <w:sz w:val="20"/>
        <w:szCs w:val="20"/>
      </w:rPr>
      <w:fldChar w:fldCharType="begin"/>
    </w:r>
    <w:r w:rsidR="007D21F4" w:rsidRPr="00B72785">
      <w:rPr>
        <w:rStyle w:val="Nmerodepgina"/>
        <w:rFonts w:ascii="Century Gothic" w:hAnsi="Century Gothic"/>
        <w:sz w:val="20"/>
        <w:szCs w:val="20"/>
      </w:rPr>
      <w:instrText xml:space="preserve">PAGE  </w:instrText>
    </w:r>
    <w:r w:rsidRPr="00B72785">
      <w:rPr>
        <w:rStyle w:val="Nmerodepgina"/>
        <w:rFonts w:ascii="Century Gothic" w:hAnsi="Century Gothic"/>
        <w:sz w:val="20"/>
        <w:szCs w:val="20"/>
      </w:rPr>
      <w:fldChar w:fldCharType="separate"/>
    </w:r>
    <w:r w:rsidR="007D21F4">
      <w:rPr>
        <w:rStyle w:val="Nmerodepgina"/>
        <w:rFonts w:ascii="Century Gothic" w:hAnsi="Century Gothic"/>
        <w:noProof/>
        <w:sz w:val="20"/>
        <w:szCs w:val="20"/>
      </w:rPr>
      <w:t>2</w:t>
    </w:r>
    <w:r w:rsidRPr="00B72785">
      <w:rPr>
        <w:rStyle w:val="Nmerodepgina"/>
        <w:rFonts w:ascii="Century Gothic" w:hAnsi="Century Gothic"/>
        <w:sz w:val="20"/>
        <w:szCs w:val="20"/>
      </w:rPr>
      <w:fldChar w:fldCharType="end"/>
    </w:r>
  </w:p>
  <w:p w:rsidR="007D21F4" w:rsidRDefault="007D21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F4" w:rsidRPr="00942D97" w:rsidRDefault="007D21F4" w:rsidP="00E8400B">
    <w:pPr>
      <w:pStyle w:val="Piedepgina"/>
      <w:tabs>
        <w:tab w:val="clear" w:pos="8838"/>
        <w:tab w:val="left" w:pos="8280"/>
        <w:tab w:val="right" w:pos="9781"/>
      </w:tabs>
      <w:ind w:right="-943"/>
      <w:jc w:val="right"/>
      <w:rPr>
        <w:rFonts w:ascii="Century Gothic" w:hAnsi="Century Gothic"/>
        <w:b/>
        <w:color w:val="24397C"/>
        <w:sz w:val="14"/>
        <w:szCs w:val="14"/>
        <w:lang w:val="es-ES"/>
      </w:rPr>
    </w:pPr>
    <w:r w:rsidRPr="00942D97">
      <w:rPr>
        <w:rFonts w:ascii="Century Gothic" w:hAnsi="Century Gothic"/>
        <w:b/>
        <w:color w:val="24397C"/>
        <w:sz w:val="14"/>
        <w:szCs w:val="14"/>
        <w:lang w:val="es-ES"/>
      </w:rPr>
      <w:t>Contraloría General de la República</w:t>
    </w:r>
  </w:p>
  <w:p w:rsidR="007D21F4" w:rsidRPr="00942D97" w:rsidRDefault="007D21F4" w:rsidP="00E8400B">
    <w:pPr>
      <w:pStyle w:val="Piedepgina"/>
      <w:tabs>
        <w:tab w:val="clear" w:pos="8838"/>
        <w:tab w:val="left" w:pos="8280"/>
        <w:tab w:val="right" w:pos="9781"/>
      </w:tabs>
      <w:ind w:right="-943"/>
      <w:jc w:val="right"/>
      <w:rPr>
        <w:rFonts w:ascii="Century Gothic" w:hAnsi="Century Gothic"/>
        <w:color w:val="24397C"/>
        <w:sz w:val="14"/>
        <w:szCs w:val="14"/>
        <w:lang w:val="es-ES"/>
      </w:rPr>
    </w:pPr>
    <w:r w:rsidRPr="00942D97">
      <w:rPr>
        <w:rFonts w:ascii="Century Gothic" w:hAnsi="Century Gothic"/>
        <w:color w:val="24397C"/>
        <w:sz w:val="14"/>
        <w:szCs w:val="14"/>
        <w:lang w:val="es-ES"/>
      </w:rPr>
      <w:t>T: (506) 2501-8000, F: (506) 2501-8100   C: contraloria.general@cgr.go.cr</w:t>
    </w:r>
  </w:p>
  <w:p w:rsidR="007D21F4" w:rsidRPr="00942D97" w:rsidRDefault="007D21F4" w:rsidP="00E8400B">
    <w:pPr>
      <w:pStyle w:val="Piedepgina"/>
      <w:tabs>
        <w:tab w:val="clear" w:pos="8838"/>
        <w:tab w:val="left" w:pos="8280"/>
        <w:tab w:val="right" w:pos="9781"/>
      </w:tabs>
      <w:ind w:right="-943"/>
      <w:jc w:val="right"/>
      <w:rPr>
        <w:rFonts w:ascii="Century Gothic" w:hAnsi="Century Gothic"/>
        <w:color w:val="24397C"/>
        <w:sz w:val="14"/>
        <w:szCs w:val="14"/>
        <w:lang w:val="es-ES"/>
      </w:rPr>
    </w:pPr>
    <w:r w:rsidRPr="00942D97">
      <w:rPr>
        <w:rFonts w:ascii="Century Gothic" w:hAnsi="Century Gothic"/>
        <w:color w:val="24397C"/>
        <w:sz w:val="14"/>
        <w:szCs w:val="14"/>
        <w:lang w:val="es-ES"/>
      </w:rPr>
      <w:t xml:space="preserve"> </w:t>
    </w:r>
    <w:hyperlink r:id="rId1" w:history="1">
      <w:r w:rsidRPr="00942D97">
        <w:rPr>
          <w:rStyle w:val="Hipervnculo"/>
          <w:rFonts w:ascii="Century Gothic" w:hAnsi="Century Gothic"/>
          <w:sz w:val="14"/>
          <w:szCs w:val="14"/>
          <w:lang w:val="es-ES"/>
        </w:rPr>
        <w:t>http://www.cgr.go.cr/</w:t>
      </w:r>
    </w:hyperlink>
    <w:r w:rsidRPr="00942D97">
      <w:rPr>
        <w:rFonts w:ascii="Century Gothic" w:hAnsi="Century Gothic"/>
        <w:color w:val="24397C"/>
        <w:sz w:val="14"/>
        <w:szCs w:val="14"/>
        <w:lang w:val="es-ES"/>
      </w:rPr>
      <w:t xml:space="preserve">   Apdo. 1179-1000, San José, Costa Rica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F4" w:rsidRPr="00942D97" w:rsidRDefault="007D21F4" w:rsidP="00EB1159">
    <w:pPr>
      <w:pStyle w:val="Piedepgina"/>
      <w:tabs>
        <w:tab w:val="clear" w:pos="8838"/>
        <w:tab w:val="left" w:pos="8280"/>
        <w:tab w:val="right" w:pos="9781"/>
      </w:tabs>
      <w:ind w:right="-943"/>
      <w:jc w:val="right"/>
      <w:rPr>
        <w:rFonts w:ascii="Century Gothic" w:hAnsi="Century Gothic"/>
        <w:b/>
        <w:color w:val="24397C"/>
        <w:sz w:val="14"/>
        <w:szCs w:val="14"/>
        <w:lang w:val="es-ES"/>
      </w:rPr>
    </w:pPr>
    <w:r w:rsidRPr="00942D97">
      <w:rPr>
        <w:rFonts w:ascii="Century Gothic" w:hAnsi="Century Gothic"/>
        <w:b/>
        <w:color w:val="24397C"/>
        <w:sz w:val="14"/>
        <w:szCs w:val="14"/>
        <w:lang w:val="es-ES"/>
      </w:rPr>
      <w:t>Contraloría General de la República</w:t>
    </w:r>
  </w:p>
  <w:p w:rsidR="007D21F4" w:rsidRPr="00942D97" w:rsidRDefault="007D21F4" w:rsidP="00EB1159">
    <w:pPr>
      <w:pStyle w:val="Piedepgina"/>
      <w:tabs>
        <w:tab w:val="clear" w:pos="8838"/>
        <w:tab w:val="left" w:pos="8280"/>
        <w:tab w:val="right" w:pos="9781"/>
      </w:tabs>
      <w:ind w:right="-943"/>
      <w:jc w:val="right"/>
      <w:rPr>
        <w:rFonts w:ascii="Century Gothic" w:hAnsi="Century Gothic"/>
        <w:color w:val="24397C"/>
        <w:sz w:val="14"/>
        <w:szCs w:val="14"/>
        <w:lang w:val="es-ES"/>
      </w:rPr>
    </w:pPr>
    <w:r w:rsidRPr="00942D97">
      <w:rPr>
        <w:rFonts w:ascii="Century Gothic" w:hAnsi="Century Gothic"/>
        <w:color w:val="24397C"/>
        <w:sz w:val="14"/>
        <w:szCs w:val="14"/>
        <w:lang w:val="es-ES"/>
      </w:rPr>
      <w:t>T: (506) 2501-8000, F: (506) 2501-8100   C: contraloria.general@cgr.go.cr</w:t>
    </w:r>
  </w:p>
  <w:p w:rsidR="007D21F4" w:rsidRPr="00EB1159" w:rsidRDefault="007D21F4" w:rsidP="00EB1159">
    <w:pPr>
      <w:pStyle w:val="Piedepgina"/>
      <w:tabs>
        <w:tab w:val="clear" w:pos="8838"/>
        <w:tab w:val="left" w:pos="8280"/>
        <w:tab w:val="right" w:pos="9781"/>
      </w:tabs>
      <w:ind w:right="-943"/>
      <w:jc w:val="right"/>
      <w:rPr>
        <w:rFonts w:ascii="Century Gothic" w:hAnsi="Century Gothic"/>
        <w:color w:val="24397C"/>
        <w:sz w:val="14"/>
        <w:szCs w:val="14"/>
        <w:lang w:val="es-ES"/>
      </w:rPr>
    </w:pPr>
    <w:r w:rsidRPr="00942D97">
      <w:rPr>
        <w:rFonts w:ascii="Century Gothic" w:hAnsi="Century Gothic"/>
        <w:color w:val="24397C"/>
        <w:sz w:val="14"/>
        <w:szCs w:val="14"/>
        <w:lang w:val="es-ES"/>
      </w:rPr>
      <w:t xml:space="preserve"> </w:t>
    </w:r>
    <w:hyperlink r:id="rId1" w:history="1">
      <w:r w:rsidRPr="00942D97">
        <w:rPr>
          <w:rStyle w:val="Hipervnculo"/>
          <w:rFonts w:ascii="Century Gothic" w:hAnsi="Century Gothic"/>
          <w:sz w:val="14"/>
          <w:szCs w:val="14"/>
          <w:lang w:val="es-ES"/>
        </w:rPr>
        <w:t>http://www.cgr.go.cr/</w:t>
      </w:r>
    </w:hyperlink>
    <w:r w:rsidRPr="00942D97">
      <w:rPr>
        <w:rFonts w:ascii="Century Gothic" w:hAnsi="Century Gothic"/>
        <w:color w:val="24397C"/>
        <w:sz w:val="14"/>
        <w:szCs w:val="14"/>
        <w:lang w:val="es-ES"/>
      </w:rPr>
      <w:t xml:space="preserve">   Apdo. 1179-1000, San José, Costa 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2D" w:rsidRDefault="00071F2D" w:rsidP="00030520">
      <w:r>
        <w:separator/>
      </w:r>
    </w:p>
  </w:footnote>
  <w:footnote w:type="continuationSeparator" w:id="0">
    <w:p w:rsidR="00071F2D" w:rsidRDefault="00071F2D" w:rsidP="0003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F4" w:rsidRPr="00910AD0" w:rsidRDefault="007D21F4" w:rsidP="00910AD0">
    <w:pPr>
      <w:pStyle w:val="Encabezado"/>
      <w:tabs>
        <w:tab w:val="clear" w:pos="8838"/>
        <w:tab w:val="right" w:pos="9781"/>
      </w:tabs>
      <w:ind w:left="-900" w:right="-943"/>
      <w:jc w:val="right"/>
      <w:rPr>
        <w:rFonts w:ascii="Century Gothic" w:hAnsi="Century Gothic"/>
        <w:sz w:val="18"/>
        <w:szCs w:val="18"/>
        <w:lang w:val="es-ES"/>
      </w:rPr>
    </w:pPr>
    <w:r w:rsidRPr="00910AD0">
      <w:rPr>
        <w:noProof/>
        <w:sz w:val="18"/>
        <w:szCs w:val="18"/>
        <w:lang w:val="es-CR"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-464185</wp:posOffset>
          </wp:positionV>
          <wp:extent cx="2009775" cy="914400"/>
          <wp:effectExtent l="0" t="0" r="0" b="0"/>
          <wp:wrapThrough wrapText="bothSides">
            <wp:wrapPolygon edited="0">
              <wp:start x="0" y="0"/>
              <wp:lineTo x="0" y="21000"/>
              <wp:lineTo x="21293" y="21000"/>
              <wp:lineTo x="21293" y="0"/>
              <wp:lineTo x="0" y="0"/>
            </wp:wrapPolygon>
          </wp:wrapThrough>
          <wp:docPr id="3" name="Imagen 3" descr="Logo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0AD0">
      <w:rPr>
        <w:rFonts w:ascii="Century Gothic" w:hAnsi="Century Gothic"/>
        <w:sz w:val="18"/>
        <w:szCs w:val="18"/>
        <w:lang w:val="es-ES"/>
      </w:rPr>
      <w:t xml:space="preserve"> </w:t>
    </w:r>
  </w:p>
  <w:p w:rsidR="007D21F4" w:rsidRPr="007D6FC3" w:rsidRDefault="007D21F4" w:rsidP="00910AD0">
    <w:pPr>
      <w:pStyle w:val="Encabezado"/>
      <w:tabs>
        <w:tab w:val="clear" w:pos="8838"/>
        <w:tab w:val="right" w:pos="9781"/>
      </w:tabs>
      <w:ind w:left="-900" w:right="-943"/>
      <w:jc w:val="right"/>
      <w:rPr>
        <w:rFonts w:ascii="Century Gothic" w:hAnsi="Century Gothic"/>
        <w:sz w:val="18"/>
        <w:szCs w:val="18"/>
        <w:lang w:val="es-ES"/>
      </w:rPr>
    </w:pPr>
  </w:p>
  <w:p w:rsidR="007D21F4" w:rsidRPr="009F2E1D" w:rsidRDefault="009F2E1D" w:rsidP="009F2E1D">
    <w:pPr>
      <w:pStyle w:val="Encabezado"/>
      <w:pBdr>
        <w:bottom w:val="single" w:sz="4" w:space="1" w:color="auto"/>
      </w:pBdr>
      <w:tabs>
        <w:tab w:val="clear" w:pos="8838"/>
        <w:tab w:val="right" w:pos="9781"/>
      </w:tabs>
      <w:ind w:left="-900" w:right="-943"/>
      <w:jc w:val="right"/>
      <w:rPr>
        <w:rFonts w:ascii="Century Gothic" w:hAnsi="Century Gothic"/>
        <w:sz w:val="22"/>
        <w:szCs w:val="22"/>
        <w:lang w:val="es-ES"/>
      </w:rPr>
    </w:pPr>
    <w:r w:rsidRPr="009F2E1D">
      <w:rPr>
        <w:rFonts w:ascii="Century Gothic" w:hAnsi="Century Gothic"/>
        <w:sz w:val="22"/>
        <w:szCs w:val="22"/>
        <w:lang w:val="es-ES"/>
      </w:rPr>
      <w:t>Unidad de Prensa y Comunicaciones</w:t>
    </w:r>
  </w:p>
  <w:p w:rsidR="007D21F4" w:rsidRDefault="007D21F4" w:rsidP="00A52244">
    <w:pPr>
      <w:pStyle w:val="Encabezado"/>
      <w:tabs>
        <w:tab w:val="clear" w:pos="8838"/>
        <w:tab w:val="right" w:pos="9781"/>
      </w:tabs>
      <w:ind w:left="-900" w:right="-943"/>
      <w:jc w:val="right"/>
      <w:rPr>
        <w:rFonts w:ascii="Century Gothic" w:hAnsi="Century Gothic"/>
        <w:sz w:val="20"/>
        <w:szCs w:val="20"/>
        <w:lang w:val="es-ES"/>
      </w:rPr>
    </w:pPr>
  </w:p>
  <w:p w:rsidR="00356EA6" w:rsidRPr="00B72785" w:rsidRDefault="00A60CCA" w:rsidP="00992A53">
    <w:pPr>
      <w:pStyle w:val="Piedepgina"/>
      <w:framePr w:wrap="around" w:vAnchor="text" w:hAnchor="page" w:x="6022" w:y="-5"/>
      <w:rPr>
        <w:rStyle w:val="Nmerodepgina"/>
        <w:rFonts w:ascii="Century Gothic" w:hAnsi="Century Gothic"/>
        <w:sz w:val="20"/>
        <w:szCs w:val="20"/>
      </w:rPr>
    </w:pPr>
    <w:r w:rsidRPr="00B72785">
      <w:rPr>
        <w:rStyle w:val="Nmerodepgina"/>
        <w:rFonts w:ascii="Century Gothic" w:hAnsi="Century Gothic"/>
        <w:sz w:val="20"/>
        <w:szCs w:val="20"/>
      </w:rPr>
      <w:fldChar w:fldCharType="begin"/>
    </w:r>
    <w:r w:rsidR="00356EA6" w:rsidRPr="00B72785">
      <w:rPr>
        <w:rStyle w:val="Nmerodepgina"/>
        <w:rFonts w:ascii="Century Gothic" w:hAnsi="Century Gothic"/>
        <w:sz w:val="20"/>
        <w:szCs w:val="20"/>
      </w:rPr>
      <w:instrText xml:space="preserve">PAGE  </w:instrText>
    </w:r>
    <w:r w:rsidRPr="00B72785">
      <w:rPr>
        <w:rStyle w:val="Nmerodepgina"/>
        <w:rFonts w:ascii="Century Gothic" w:hAnsi="Century Gothic"/>
        <w:sz w:val="20"/>
        <w:szCs w:val="20"/>
      </w:rPr>
      <w:fldChar w:fldCharType="separate"/>
    </w:r>
    <w:r w:rsidR="00112AD9">
      <w:rPr>
        <w:rStyle w:val="Nmerodepgina"/>
        <w:rFonts w:ascii="Century Gothic" w:hAnsi="Century Gothic"/>
        <w:noProof/>
        <w:sz w:val="20"/>
        <w:szCs w:val="20"/>
      </w:rPr>
      <w:t>2</w:t>
    </w:r>
    <w:r w:rsidRPr="00B72785">
      <w:rPr>
        <w:rStyle w:val="Nmerodepgina"/>
        <w:rFonts w:ascii="Century Gothic" w:hAnsi="Century Gothic"/>
        <w:sz w:val="20"/>
        <w:szCs w:val="20"/>
      </w:rPr>
      <w:fldChar w:fldCharType="end"/>
    </w:r>
  </w:p>
  <w:p w:rsidR="007D21F4" w:rsidRDefault="007D21F4" w:rsidP="00204441">
    <w:pPr>
      <w:pStyle w:val="Encabezado"/>
      <w:tabs>
        <w:tab w:val="center" w:pos="4500"/>
        <w:tab w:val="right" w:pos="9360"/>
      </w:tabs>
      <w:rPr>
        <w:rFonts w:ascii="Century Gothic" w:hAnsi="Century Gothic" w:cs="Arial"/>
        <w:sz w:val="20"/>
        <w:szCs w:val="20"/>
        <w:lang w:val="es-CR"/>
      </w:rPr>
    </w:pPr>
    <w:r w:rsidRPr="00204441">
      <w:rPr>
        <w:rFonts w:ascii="Century Gothic" w:hAnsi="Century Gothic" w:cs="Arial"/>
        <w:sz w:val="20"/>
        <w:szCs w:val="20"/>
        <w:lang w:val="es-CR"/>
      </w:rPr>
      <w:tab/>
    </w:r>
    <w:r>
      <w:rPr>
        <w:rFonts w:ascii="Century Gothic" w:hAnsi="Century Gothic" w:cs="Arial"/>
        <w:sz w:val="20"/>
        <w:szCs w:val="20"/>
        <w:lang w:val="es-CR"/>
      </w:rPr>
      <w:tab/>
    </w:r>
    <w:r w:rsidRPr="00204441">
      <w:rPr>
        <w:rFonts w:ascii="Century Gothic" w:hAnsi="Century Gothic" w:cs="Arial"/>
        <w:sz w:val="20"/>
        <w:szCs w:val="20"/>
        <w:lang w:val="es-CR"/>
      </w:rPr>
      <w:tab/>
    </w:r>
  </w:p>
  <w:p w:rsidR="007D21F4" w:rsidRPr="00204441" w:rsidRDefault="007D21F4" w:rsidP="00204441">
    <w:pPr>
      <w:pStyle w:val="Encabezado"/>
      <w:tabs>
        <w:tab w:val="center" w:pos="4500"/>
        <w:tab w:val="right" w:pos="9360"/>
      </w:tabs>
      <w:rPr>
        <w:rFonts w:ascii="Century Gothic" w:hAnsi="Century Gothic" w:cs="Arial"/>
        <w:sz w:val="20"/>
        <w:szCs w:val="20"/>
        <w:lang w:val="es-C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F4" w:rsidRPr="00910AD0" w:rsidRDefault="007D21F4" w:rsidP="00EB1159">
    <w:pPr>
      <w:pStyle w:val="Encabezado"/>
      <w:tabs>
        <w:tab w:val="clear" w:pos="8838"/>
        <w:tab w:val="right" w:pos="9781"/>
      </w:tabs>
      <w:ind w:left="-900" w:right="-943"/>
      <w:jc w:val="right"/>
      <w:rPr>
        <w:rFonts w:ascii="Century Gothic" w:hAnsi="Century Gothic"/>
        <w:sz w:val="18"/>
        <w:szCs w:val="18"/>
        <w:lang w:val="es-ES"/>
      </w:rPr>
    </w:pPr>
    <w:r w:rsidRPr="00910AD0">
      <w:rPr>
        <w:noProof/>
        <w:sz w:val="18"/>
        <w:szCs w:val="18"/>
        <w:lang w:val="es-CR" w:eastAsia="es-C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-464185</wp:posOffset>
          </wp:positionV>
          <wp:extent cx="2009775" cy="914400"/>
          <wp:effectExtent l="0" t="0" r="0" b="0"/>
          <wp:wrapThrough wrapText="bothSides">
            <wp:wrapPolygon edited="0">
              <wp:start x="0" y="0"/>
              <wp:lineTo x="0" y="21000"/>
              <wp:lineTo x="21293" y="21000"/>
              <wp:lineTo x="21293" y="0"/>
              <wp:lineTo x="0" y="0"/>
            </wp:wrapPolygon>
          </wp:wrapThrough>
          <wp:docPr id="1" name="Imagen 1" descr="Logo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0AD0">
      <w:rPr>
        <w:rFonts w:ascii="Century Gothic" w:hAnsi="Century Gothic"/>
        <w:sz w:val="18"/>
        <w:szCs w:val="18"/>
        <w:lang w:val="es-ES"/>
      </w:rPr>
      <w:t xml:space="preserve"> </w:t>
    </w:r>
  </w:p>
  <w:p w:rsidR="007D21F4" w:rsidRPr="00EB1159" w:rsidRDefault="007D21F4" w:rsidP="00EB11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E418A"/>
    <w:multiLevelType w:val="hybridMultilevel"/>
    <w:tmpl w:val="21529EF6"/>
    <w:lvl w:ilvl="0" w:tplc="A95EF4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C58C6"/>
    <w:multiLevelType w:val="hybridMultilevel"/>
    <w:tmpl w:val="D862B582"/>
    <w:lvl w:ilvl="0" w:tplc="A95EF4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6E69FFA">
      <w:start w:val="1"/>
      <w:numFmt w:val="bullet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0"/>
    <w:rsid w:val="00030520"/>
    <w:rsid w:val="00063146"/>
    <w:rsid w:val="00071F2D"/>
    <w:rsid w:val="000861C2"/>
    <w:rsid w:val="00112AD9"/>
    <w:rsid w:val="00177648"/>
    <w:rsid w:val="001E2FE1"/>
    <w:rsid w:val="00204441"/>
    <w:rsid w:val="00235B13"/>
    <w:rsid w:val="00331EC3"/>
    <w:rsid w:val="0035429A"/>
    <w:rsid w:val="00356EA6"/>
    <w:rsid w:val="00394C57"/>
    <w:rsid w:val="003C1837"/>
    <w:rsid w:val="004561CE"/>
    <w:rsid w:val="004D35D4"/>
    <w:rsid w:val="005C4F4D"/>
    <w:rsid w:val="005E4D8A"/>
    <w:rsid w:val="005F2C76"/>
    <w:rsid w:val="00625E01"/>
    <w:rsid w:val="00655A11"/>
    <w:rsid w:val="0069601B"/>
    <w:rsid w:val="00696616"/>
    <w:rsid w:val="006A66E2"/>
    <w:rsid w:val="006B77ED"/>
    <w:rsid w:val="006E7049"/>
    <w:rsid w:val="00700A6E"/>
    <w:rsid w:val="007437FD"/>
    <w:rsid w:val="00794584"/>
    <w:rsid w:val="007C4F4E"/>
    <w:rsid w:val="007D21F4"/>
    <w:rsid w:val="007D6FC3"/>
    <w:rsid w:val="00804BB4"/>
    <w:rsid w:val="00814A7C"/>
    <w:rsid w:val="00852DF4"/>
    <w:rsid w:val="00857968"/>
    <w:rsid w:val="00910AD0"/>
    <w:rsid w:val="00942D97"/>
    <w:rsid w:val="00947C26"/>
    <w:rsid w:val="00973EB6"/>
    <w:rsid w:val="00992A53"/>
    <w:rsid w:val="00993267"/>
    <w:rsid w:val="009A44A8"/>
    <w:rsid w:val="009C1B26"/>
    <w:rsid w:val="009F2E1D"/>
    <w:rsid w:val="00A50871"/>
    <w:rsid w:val="00A52244"/>
    <w:rsid w:val="00A60CCA"/>
    <w:rsid w:val="00B705E8"/>
    <w:rsid w:val="00B72785"/>
    <w:rsid w:val="00B9297E"/>
    <w:rsid w:val="00C4595C"/>
    <w:rsid w:val="00C7493C"/>
    <w:rsid w:val="00CA3735"/>
    <w:rsid w:val="00CC0DAD"/>
    <w:rsid w:val="00CC1C78"/>
    <w:rsid w:val="00CF06F3"/>
    <w:rsid w:val="00D12E35"/>
    <w:rsid w:val="00D72085"/>
    <w:rsid w:val="00DB5234"/>
    <w:rsid w:val="00E003BA"/>
    <w:rsid w:val="00E8400B"/>
    <w:rsid w:val="00EB1159"/>
    <w:rsid w:val="00EB7093"/>
    <w:rsid w:val="00F104E6"/>
    <w:rsid w:val="00F36552"/>
    <w:rsid w:val="00F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813019-6440-4AB4-9E99-E1346F35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44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30520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0520"/>
  </w:style>
  <w:style w:type="paragraph" w:styleId="Piedepgina">
    <w:name w:val="footer"/>
    <w:basedOn w:val="Normal"/>
    <w:link w:val="PiedepginaCar"/>
    <w:uiPriority w:val="99"/>
    <w:unhideWhenUsed/>
    <w:rsid w:val="00030520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520"/>
  </w:style>
  <w:style w:type="character" w:styleId="Hipervnculo">
    <w:name w:val="Hyperlink"/>
    <w:basedOn w:val="Fuentedeprrafopredeter"/>
    <w:uiPriority w:val="99"/>
    <w:unhideWhenUsed/>
    <w:rsid w:val="006A66E2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52244"/>
    <w:pPr>
      <w:jc w:val="both"/>
    </w:pPr>
    <w:rPr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A52244"/>
    <w:rPr>
      <w:rFonts w:ascii="Times New Roman" w:eastAsia="Times New Roman" w:hAnsi="Times New Roman" w:cs="Times New Roman"/>
      <w:i/>
      <w:sz w:val="22"/>
      <w:szCs w:val="2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B7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r.go.c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r.go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B906-D8C3-436A-8195-89DBFF09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897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Al contestar refiérase</vt:lpstr>
      <vt:lpstr>DGA-USI-0379</vt:lpstr>
      <vt:lpstr>Máster Soledad Jiménez Cascante</vt:lpstr>
      <vt:lpstr>Ci:	Archivo Central</vt:lpstr>
    </vt:vector>
  </TitlesOfParts>
  <Company>Contraloria General de la Republica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Hernandez</dc:creator>
  <cp:lastModifiedBy>Mariela Azofeifa Olivares</cp:lastModifiedBy>
  <cp:revision>9</cp:revision>
  <cp:lastPrinted>2015-01-12T19:42:00Z</cp:lastPrinted>
  <dcterms:created xsi:type="dcterms:W3CDTF">2016-02-29T20:26:00Z</dcterms:created>
  <dcterms:modified xsi:type="dcterms:W3CDTF">2016-03-01T14:48:00Z</dcterms:modified>
</cp:coreProperties>
</file>