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76465" cy="1074420"/>
                <wp:effectExtent l="0" t="0" r="634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76465" cy="1074420"/>
                          <a:chExt cx="7276465" cy="10744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744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94665" y="984250"/>
                            <a:ext cx="678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276465" cy="1074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9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470" w:lineRule="exact" w:before="1"/>
                                <w:ind w:left="0" w:right="-15" w:firstLine="0"/>
                                <w:jc w:val="right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División</w:t>
                              </w:r>
                              <w:r>
                                <w:rPr>
                                  <w:rFonts w:ascii="Century Gothic" w:hAnsi="Century Gothic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Gestión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pacing w:val="-2"/>
                                  <w:sz w:val="22"/>
                                </w:rPr>
                                <w:t>Apoyo</w:t>
                              </w:r>
                            </w:p>
                            <w:p>
                              <w:pPr>
                                <w:spacing w:line="412" w:lineRule="exact" w:before="0"/>
                                <w:ind w:left="0" w:right="-15" w:firstLine="0"/>
                                <w:jc w:val="right"/>
                                <w:rPr>
                                  <w:rFonts w:ascii="Century Gothic" w:hAns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Unidad</w:t>
                              </w:r>
                              <w:r>
                                <w:rPr>
                                  <w:rFonts w:ascii="Century Gothic" w:hAnsi="Century Gothic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Administración</w:t>
                              </w:r>
                              <w:r>
                                <w:rPr>
                                  <w:rFonts w:ascii="Century Gothic" w:hAns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pacing w:val="-2"/>
                                  <w:sz w:val="20"/>
                                </w:rPr>
                                <w:t>Financiera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2.950pt;height:84.6pt;mso-position-horizontal-relative:char;mso-position-vertical-relative:line" id="docshapegroup1" coordorigin="0,0" coordsize="11459,1692">
                <v:shape style="position:absolute;left:0;top:0;width:2295;height:1692" type="#_x0000_t75" id="docshape2" stroked="false">
                  <v:imagedata r:id="rId5" o:title=""/>
                </v:shape>
                <v:line style="position:absolute" from="779,1550" to="11459,1550" stroked="true" strokeweight="1.0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459;height:1692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29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470" w:lineRule="exact" w:before="1"/>
                          <w:ind w:left="0" w:right="-15" w:firstLine="0"/>
                          <w:jc w:val="right"/>
                          <w:rPr>
                            <w:rFonts w:ascii="Century Gothic" w:hAnsi="Century Gothic"/>
                            <w:sz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</w:rPr>
                          <w:t>División</w:t>
                        </w:r>
                        <w:r>
                          <w:rPr>
                            <w:rFonts w:ascii="Century Gothic" w:hAnsi="Century Gothic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Gestión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pacing w:val="-2"/>
                            <w:sz w:val="22"/>
                          </w:rPr>
                          <w:t>Apoyo</w:t>
                        </w:r>
                      </w:p>
                      <w:p>
                        <w:pPr>
                          <w:spacing w:line="412" w:lineRule="exact" w:before="0"/>
                          <w:ind w:left="0" w:right="-15" w:firstLine="0"/>
                          <w:jc w:val="right"/>
                          <w:rPr>
                            <w:rFonts w:ascii="Century Gothic" w:hAnsi="Century Gothic"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Unidad</w:t>
                        </w:r>
                        <w:r>
                          <w:rPr>
                            <w:rFonts w:ascii="Century Gothic" w:hAnsi="Century Gothic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0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0"/>
                          </w:rPr>
                          <w:t>Administración</w:t>
                        </w:r>
                        <w:r>
                          <w:rPr>
                            <w:rFonts w:ascii="Century Gothic" w:hAns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pacing w:val="-2"/>
                            <w:sz w:val="20"/>
                          </w:rPr>
                          <w:t>Financiera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88" w:lineRule="auto" w:before="92"/>
        <w:ind w:left="8431" w:right="1058" w:firstLine="30"/>
        <w:jc w:val="right"/>
        <w:rPr>
          <w:b/>
          <w:sz w:val="36"/>
        </w:rPr>
      </w:pPr>
      <w:r>
        <w:rPr/>
        <w:t>Al</w:t>
      </w:r>
      <w:r>
        <w:rPr>
          <w:spacing w:val="-16"/>
        </w:rPr>
        <w:t> </w:t>
      </w:r>
      <w:r>
        <w:rPr/>
        <w:t>contestar</w:t>
      </w:r>
      <w:r>
        <w:rPr>
          <w:spacing w:val="-15"/>
        </w:rPr>
        <w:t> </w:t>
      </w:r>
      <w:r>
        <w:rPr/>
        <w:t>refiérase al</w:t>
      </w:r>
      <w:r>
        <w:rPr>
          <w:spacing w:val="-4"/>
        </w:rPr>
        <w:t> </w:t>
      </w:r>
      <w:r>
        <w:rPr/>
        <w:t>oficio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b/>
          <w:spacing w:val="-2"/>
          <w:sz w:val="36"/>
          <w:u w:val="single"/>
        </w:rPr>
        <w:t>16928</w:t>
      </w:r>
    </w:p>
    <w:p>
      <w:pPr>
        <w:pStyle w:val="BodyText"/>
        <w:spacing w:before="41"/>
        <w:rPr>
          <w:b/>
        </w:rPr>
      </w:pPr>
    </w:p>
    <w:p>
      <w:pPr>
        <w:pStyle w:val="BodyText"/>
        <w:ind w:left="5961"/>
      </w:pPr>
      <w:r>
        <w:rPr/>
        <w:t>25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setiembre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Title"/>
      </w:pPr>
      <w:r>
        <w:rPr>
          <w:spacing w:val="-2"/>
        </w:rPr>
        <w:t>DGA-UAF-</w:t>
      </w:r>
      <w:r>
        <w:rPr>
          <w:spacing w:val="-4"/>
        </w:rPr>
        <w:t>0199</w:t>
      </w:r>
    </w:p>
    <w:p>
      <w:pPr>
        <w:pStyle w:val="BodyText"/>
        <w:spacing w:before="94"/>
        <w:rPr>
          <w:b/>
        </w:rPr>
      </w:pPr>
    </w:p>
    <w:p>
      <w:pPr>
        <w:pStyle w:val="BodyText"/>
        <w:spacing w:line="285" w:lineRule="auto"/>
        <w:ind w:left="1701" w:right="8333"/>
      </w:pPr>
      <w:r>
        <w:rPr>
          <w:spacing w:val="-2"/>
        </w:rPr>
        <w:t>Licenciado</w:t>
      </w:r>
      <w:r>
        <w:rPr>
          <w:spacing w:val="80"/>
        </w:rPr>
        <w:t> </w:t>
      </w:r>
      <w:r>
        <w:rPr/>
        <w:t>Errol</w:t>
      </w:r>
      <w:r>
        <w:rPr>
          <w:spacing w:val="-16"/>
        </w:rPr>
        <w:t> </w:t>
      </w:r>
      <w:r>
        <w:rPr/>
        <w:t>Solís</w:t>
      </w:r>
      <w:r>
        <w:rPr>
          <w:spacing w:val="-15"/>
        </w:rPr>
        <w:t> </w:t>
      </w:r>
      <w:r>
        <w:rPr/>
        <w:t>Mata</w:t>
      </w:r>
    </w:p>
    <w:p>
      <w:pPr>
        <w:spacing w:line="285" w:lineRule="auto" w:before="0"/>
        <w:ind w:left="1701" w:right="5518" w:firstLine="0"/>
        <w:jc w:val="left"/>
        <w:rPr>
          <w:b/>
          <w:sz w:val="22"/>
        </w:rPr>
      </w:pPr>
      <w:bookmarkStart w:name="Director General " w:id="1"/>
      <w:bookmarkEnd w:id="1"/>
      <w:r>
        <w:rPr/>
      </w:r>
      <w:r>
        <w:rPr>
          <w:sz w:val="22"/>
        </w:rPr>
        <w:t>Director General </w:t>
      </w:r>
      <w:hyperlink r:id="rId6">
        <w:r>
          <w:rPr>
            <w:color w:val="1154CC"/>
            <w:spacing w:val="-2"/>
            <w:sz w:val="22"/>
            <w:u w:val="thick" w:color="1154CC"/>
          </w:rPr>
          <w:t>contabilidad@hacienda.go.cr</w:t>
        </w:r>
      </w:hyperlink>
      <w:r>
        <w:rPr>
          <w:color w:val="1154CC"/>
          <w:spacing w:val="-2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CONTABILIDAD</w:t>
      </w:r>
      <w:r>
        <w:rPr>
          <w:b/>
          <w:spacing w:val="-14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NACIONAL</w:t>
      </w:r>
    </w:p>
    <w:p>
      <w:pPr>
        <w:pStyle w:val="BodyText"/>
        <w:spacing w:before="42"/>
        <w:rPr>
          <w:b/>
        </w:rPr>
      </w:pPr>
    </w:p>
    <w:p>
      <w:pPr>
        <w:pStyle w:val="BodyText"/>
        <w:ind w:left="1701"/>
      </w:pPr>
      <w:r>
        <w:rPr/>
        <w:t>Estimado</w:t>
      </w:r>
      <w:r>
        <w:rPr>
          <w:spacing w:val="-8"/>
        </w:rPr>
        <w:t> </w:t>
      </w:r>
      <w:r>
        <w:rPr>
          <w:spacing w:val="-2"/>
        </w:rPr>
        <w:t>señor:</w:t>
      </w:r>
    </w:p>
    <w:p>
      <w:pPr>
        <w:pStyle w:val="BodyText"/>
        <w:spacing w:before="94"/>
      </w:pPr>
    </w:p>
    <w:p>
      <w:pPr>
        <w:pStyle w:val="BodyText"/>
        <w:ind w:left="580" w:right="1023"/>
        <w:jc w:val="center"/>
      </w:pPr>
      <w:r>
        <w:rPr>
          <w:b/>
        </w:rPr>
        <w:t>Asunto:</w:t>
      </w:r>
      <w:r>
        <w:rPr>
          <w:b/>
          <w:spacing w:val="-8"/>
        </w:rPr>
        <w:t> </w:t>
      </w:r>
      <w:r>
        <w:rPr/>
        <w:t>Remisión</w:t>
      </w:r>
      <w:r>
        <w:rPr>
          <w:spacing w:val="-5"/>
        </w:rPr>
        <w:t> </w:t>
      </w:r>
      <w:r>
        <w:rPr/>
        <w:t>Estados</w:t>
      </w:r>
      <w:r>
        <w:rPr>
          <w:spacing w:val="-5"/>
        </w:rPr>
        <w:t> </w:t>
      </w:r>
      <w:r>
        <w:rPr/>
        <w:t>Financieros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31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BodyText"/>
        <w:spacing w:before="184"/>
      </w:pPr>
    </w:p>
    <w:p>
      <w:pPr>
        <w:pStyle w:val="BodyText"/>
        <w:spacing w:line="369" w:lineRule="auto"/>
        <w:ind w:left="1701" w:right="1126" w:firstLine="705"/>
        <w:jc w:val="both"/>
      </w:pPr>
      <w:r>
        <w:rPr/>
        <w:t>Con el fin de cumplir con lo dispuesto en la</w:t>
      </w:r>
      <w:r>
        <w:rPr>
          <w:spacing w:val="-3"/>
        </w:rPr>
        <w:t> </w:t>
      </w:r>
      <w:r>
        <w:rPr/>
        <w:t>Directriz</w:t>
      </w:r>
      <w:r>
        <w:rPr>
          <w:spacing w:val="-3"/>
        </w:rPr>
        <w:t> </w:t>
      </w:r>
      <w:r>
        <w:rPr/>
        <w:t>DCN-0012-2021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07 de diciembre de 2021, adjunto encontrará los Estados Financieros (EEFF) de esta Institución y anexos correspondientes al 31 de agosto de 2025.</w:t>
      </w:r>
    </w:p>
    <w:p>
      <w:pPr>
        <w:pStyle w:val="BodyText"/>
        <w:spacing w:before="138"/>
      </w:pPr>
    </w:p>
    <w:p>
      <w:pPr>
        <w:pStyle w:val="BodyText"/>
        <w:ind w:left="1023" w:right="443"/>
        <w:jc w:val="center"/>
      </w:pPr>
      <w:r>
        <w:rPr>
          <w:spacing w:val="-2"/>
        </w:rPr>
        <w:t>Atentamente,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3"/>
        <w:gridCol w:w="4016"/>
      </w:tblGrid>
      <w:tr>
        <w:trPr>
          <w:trHeight w:val="1277" w:hRule="atLeast"/>
        </w:trPr>
        <w:tc>
          <w:tcPr>
            <w:tcW w:w="5323" w:type="dxa"/>
          </w:tcPr>
          <w:p>
            <w:pPr>
              <w:pStyle w:val="TableParagraph"/>
              <w:spacing w:line="246" w:lineRule="exact"/>
              <w:ind w:right="457"/>
              <w:jc w:val="center"/>
              <w:rPr>
                <w:sz w:val="22"/>
              </w:rPr>
            </w:pPr>
            <w:r>
              <w:rPr>
                <w:sz w:val="22"/>
              </w:rPr>
              <w:t>Licda.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Zúñiga</w:t>
            </w:r>
          </w:p>
          <w:p>
            <w:pPr>
              <w:pStyle w:val="TableParagraph"/>
              <w:spacing w:before="47"/>
              <w:ind w:right="4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CONTRALORA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REPÚBLICA</w:t>
            </w:r>
          </w:p>
        </w:tc>
        <w:tc>
          <w:tcPr>
            <w:tcW w:w="4016" w:type="dxa"/>
          </w:tcPr>
          <w:p>
            <w:pPr>
              <w:pStyle w:val="TableParagraph"/>
              <w:spacing w:line="246" w:lineRule="exact"/>
              <w:ind w:left="644"/>
              <w:rPr>
                <w:sz w:val="22"/>
              </w:rPr>
            </w:pPr>
            <w:r>
              <w:rPr>
                <w:sz w:val="22"/>
              </w:rPr>
              <w:t>M.I.I.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Madrigal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Bravo</w:t>
            </w:r>
          </w:p>
          <w:p>
            <w:pPr>
              <w:pStyle w:val="TableParagraph"/>
              <w:spacing w:line="285" w:lineRule="auto" w:before="47"/>
              <w:ind w:left="1560" w:hanging="1051"/>
              <w:rPr>
                <w:b/>
                <w:sz w:val="22"/>
              </w:rPr>
            </w:pPr>
            <w:r>
              <w:rPr>
                <w:b/>
                <w:sz w:val="22"/>
              </w:rPr>
              <w:t>JEFE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UNIDAD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ADMINISTRACIÓN </w:t>
            </w:r>
            <w:r>
              <w:rPr>
                <w:b/>
                <w:spacing w:val="-2"/>
                <w:sz w:val="22"/>
              </w:rPr>
              <w:t>FINANCIERA</w:t>
            </w:r>
          </w:p>
        </w:tc>
      </w:tr>
      <w:tr>
        <w:trPr>
          <w:trHeight w:val="977" w:hRule="atLeast"/>
        </w:trPr>
        <w:tc>
          <w:tcPr>
            <w:tcW w:w="5323" w:type="dxa"/>
          </w:tcPr>
          <w:p>
            <w:pPr>
              <w:pStyle w:val="TableParagraph"/>
              <w:spacing w:before="171"/>
              <w:rPr>
                <w:sz w:val="22"/>
              </w:rPr>
            </w:pPr>
          </w:p>
          <w:p>
            <w:pPr>
              <w:pStyle w:val="TableParagraph"/>
              <w:spacing w:before="1"/>
              <w:ind w:right="457"/>
              <w:jc w:val="center"/>
              <w:rPr>
                <w:sz w:val="22"/>
              </w:rPr>
            </w:pPr>
            <w:r>
              <w:rPr>
                <w:sz w:val="22"/>
              </w:rPr>
              <w:t>Licda.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Jeannette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Fallas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Castro</w:t>
            </w:r>
          </w:p>
          <w:p>
            <w:pPr>
              <w:pStyle w:val="TableParagraph"/>
              <w:spacing w:line="233" w:lineRule="exact" w:before="47"/>
              <w:ind w:right="45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CONTADORA</w:t>
            </w:r>
          </w:p>
        </w:tc>
        <w:tc>
          <w:tcPr>
            <w:tcW w:w="4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5"/>
        </w:rPr>
      </w:pPr>
    </w:p>
    <w:p>
      <w:pPr>
        <w:pStyle w:val="BodyText"/>
        <w:ind w:left="6897"/>
        <w:rPr>
          <w:sz w:val="20"/>
        </w:rPr>
      </w:pPr>
      <w:r>
        <w:rPr>
          <w:sz w:val="20"/>
        </w:rPr>
        <w:drawing>
          <wp:inline distT="0" distB="0" distL="0" distR="0">
            <wp:extent cx="1572033" cy="50044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033" cy="50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before="1"/>
        <w:ind w:left="1701" w:right="0" w:firstLine="0"/>
        <w:jc w:val="left"/>
        <w:rPr>
          <w:sz w:val="20"/>
        </w:rPr>
      </w:pPr>
      <w:r>
        <w:rPr>
          <w:sz w:val="20"/>
        </w:rPr>
        <w:t>ci:</w:t>
      </w:r>
      <w:r>
        <w:rPr>
          <w:spacing w:val="-8"/>
          <w:sz w:val="20"/>
        </w:rPr>
        <w:t> </w:t>
      </w:r>
      <w:r>
        <w:rPr>
          <w:sz w:val="20"/>
        </w:rPr>
        <w:t>Contabilidad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CGR</w:t>
      </w:r>
    </w:p>
    <w:p>
      <w:pPr>
        <w:spacing w:before="40"/>
        <w:ind w:left="1701" w:right="0" w:firstLine="0"/>
        <w:jc w:val="left"/>
        <w:rPr>
          <w:b/>
          <w:sz w:val="20"/>
        </w:rPr>
      </w:pPr>
      <w:r>
        <w:rPr>
          <w:b/>
          <w:sz w:val="20"/>
        </w:rPr>
        <w:t>G.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2025000086-</w:t>
      </w:r>
      <w:r>
        <w:rPr>
          <w:b/>
          <w:spacing w:val="-10"/>
          <w:sz w:val="20"/>
        </w:rPr>
        <w:t>4</w:t>
      </w:r>
    </w:p>
    <w:p>
      <w:pPr>
        <w:spacing w:before="40"/>
        <w:ind w:left="1701" w:right="0" w:firstLine="0"/>
        <w:jc w:val="left"/>
        <w:rPr>
          <w:b/>
          <w:sz w:val="20"/>
        </w:rPr>
      </w:pPr>
      <w:r>
        <w:rPr>
          <w:b/>
          <w:sz w:val="20"/>
        </w:rPr>
        <w:t>C.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2025020507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1"/>
        <w:rPr>
          <w:b/>
          <w:sz w:val="14"/>
        </w:rPr>
      </w:pPr>
    </w:p>
    <w:p>
      <w:pPr>
        <w:spacing w:line="96" w:lineRule="auto" w:before="0"/>
        <w:ind w:left="6686" w:right="113" w:firstLine="2338"/>
        <w:jc w:val="right"/>
        <w:rPr>
          <w:rFonts w:ascii="Century Gothic" w:hAnsi="Century Gothic"/>
          <w:sz w:val="14"/>
        </w:rPr>
      </w:pPr>
      <w:r>
        <w:rPr>
          <w:rFonts w:ascii="Century Gothic Bold" w:hAnsi="Century Gothic Bold"/>
          <w:b/>
          <w:color w:val="24387C"/>
          <w:sz w:val="14"/>
        </w:rPr>
        <w:t>Contraloría</w:t>
      </w:r>
      <w:r>
        <w:rPr>
          <w:rFonts w:ascii="Century Gothic Bold" w:hAnsi="Century Gothic Bold"/>
          <w:b/>
          <w:color w:val="24387C"/>
          <w:spacing w:val="-10"/>
          <w:sz w:val="14"/>
        </w:rPr>
        <w:t> </w:t>
      </w:r>
      <w:r>
        <w:rPr>
          <w:rFonts w:ascii="Century Gothic Bold" w:hAnsi="Century Gothic Bold"/>
          <w:b/>
          <w:color w:val="24387C"/>
          <w:sz w:val="14"/>
        </w:rPr>
        <w:t>General</w:t>
      </w:r>
      <w:r>
        <w:rPr>
          <w:rFonts w:ascii="Century Gothic Bold" w:hAnsi="Century Gothic Bold"/>
          <w:b/>
          <w:color w:val="24387C"/>
          <w:spacing w:val="-10"/>
          <w:sz w:val="14"/>
        </w:rPr>
        <w:t> </w:t>
      </w:r>
      <w:r>
        <w:rPr>
          <w:rFonts w:ascii="Century Gothic Bold" w:hAnsi="Century Gothic Bold"/>
          <w:b/>
          <w:color w:val="24387C"/>
          <w:sz w:val="14"/>
        </w:rPr>
        <w:t>de</w:t>
      </w:r>
      <w:r>
        <w:rPr>
          <w:rFonts w:ascii="Century Gothic Bold" w:hAnsi="Century Gothic Bold"/>
          <w:b/>
          <w:color w:val="24387C"/>
          <w:spacing w:val="-10"/>
          <w:sz w:val="14"/>
        </w:rPr>
        <w:t> </w:t>
      </w:r>
      <w:r>
        <w:rPr>
          <w:rFonts w:ascii="Century Gothic Bold" w:hAnsi="Century Gothic Bold"/>
          <w:b/>
          <w:color w:val="24387C"/>
          <w:sz w:val="14"/>
        </w:rPr>
        <w:t>la</w:t>
      </w:r>
      <w:r>
        <w:rPr>
          <w:rFonts w:ascii="Century Gothic Bold" w:hAnsi="Century Gothic Bold"/>
          <w:b/>
          <w:color w:val="24387C"/>
          <w:spacing w:val="-9"/>
          <w:sz w:val="14"/>
        </w:rPr>
        <w:t> </w:t>
      </w:r>
      <w:r>
        <w:rPr>
          <w:rFonts w:ascii="Century Gothic Bold" w:hAnsi="Century Gothic Bold"/>
          <w:b/>
          <w:color w:val="24387C"/>
          <w:sz w:val="14"/>
        </w:rPr>
        <w:t>República</w:t>
      </w:r>
      <w:r>
        <w:rPr>
          <w:rFonts w:ascii="Century Gothic Bold" w:hAnsi="Century Gothic Bold"/>
          <w:b/>
          <w:color w:val="24387C"/>
          <w:spacing w:val="40"/>
          <w:sz w:val="14"/>
        </w:rPr>
        <w:t> </w:t>
      </w:r>
      <w:r>
        <w:rPr>
          <w:rFonts w:ascii="Century Gothic" w:hAnsi="Century Gothic"/>
          <w:color w:val="24387C"/>
          <w:sz w:val="14"/>
        </w:rPr>
        <w:t>T: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(506)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2501-8071,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F: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(506)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2220-3110</w:t>
      </w:r>
      <w:r>
        <w:rPr>
          <w:rFonts w:ascii="Century Gothic" w:hAnsi="Century Gothic"/>
          <w:color w:val="24387C"/>
          <w:spacing w:val="6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C:</w:t>
      </w:r>
      <w:r>
        <w:rPr>
          <w:rFonts w:ascii="Century Gothic" w:hAnsi="Century Gothic"/>
          <w:color w:val="24387C"/>
          <w:spacing w:val="-5"/>
          <w:sz w:val="14"/>
        </w:rPr>
        <w:t> </w:t>
      </w:r>
      <w:hyperlink r:id="rId8">
        <w:r>
          <w:rPr>
            <w:rFonts w:ascii="Century Gothic" w:hAnsi="Century Gothic"/>
            <w:color w:val="24387C"/>
            <w:sz w:val="14"/>
          </w:rPr>
          <w:t>contraloria.general@cgr.go.cr</w:t>
        </w:r>
      </w:hyperlink>
      <w:r>
        <w:rPr>
          <w:rFonts w:ascii="Century Gothic" w:hAnsi="Century Gothic"/>
          <w:color w:val="24387C"/>
          <w:spacing w:val="40"/>
          <w:sz w:val="14"/>
        </w:rPr>
        <w:t> </w:t>
      </w:r>
      <w:hyperlink r:id="rId9">
        <w:r>
          <w:rPr>
            <w:rFonts w:ascii="Century Gothic" w:hAnsi="Century Gothic"/>
            <w:color w:val="0000FF"/>
            <w:sz w:val="14"/>
            <w:u w:val="thick" w:color="0000FF"/>
          </w:rPr>
          <w:t>http://www.cgr.go.cr/</w:t>
        </w:r>
      </w:hyperlink>
      <w:r>
        <w:rPr>
          <w:rFonts w:ascii="Times New Roman" w:hAnsi="Times New Roman"/>
          <w:color w:val="0000FF"/>
          <w:spacing w:val="80"/>
          <w:sz w:val="14"/>
          <w:u w:val="none"/>
        </w:rPr>
        <w:t> </w:t>
      </w:r>
      <w:r>
        <w:rPr>
          <w:rFonts w:ascii="Century Gothic" w:hAnsi="Century Gothic"/>
          <w:color w:val="24387C"/>
          <w:sz w:val="14"/>
          <w:u w:val="none"/>
        </w:rPr>
        <w:t>Apdo. 1179-1000, San José, Costa Rica</w:t>
      </w:r>
    </w:p>
    <w:sectPr>
      <w:type w:val="continuous"/>
      <w:pgSz w:w="12240" w:h="15840"/>
      <w:pgMar w:top="0" w:bottom="280" w:left="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auto"/>
    <w:pitch w:val="default"/>
  </w:font>
  <w:font w:name="Century Gothic Bold">
    <w:altName w:val="Century Gothic Bold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596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ontabilidad@hacienda.go.cr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contraloria.general@cgr.go.cr" TargetMode="External"/><Relationship Id="rId9" Type="http://schemas.openxmlformats.org/officeDocument/2006/relationships/hyperlink" Target="http://www.cgr.go.c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DGA-UAF-0199 (16928) CN Estados Financieros Agosto 2025</dc:title>
  <dcterms:created xsi:type="dcterms:W3CDTF">2025-10-08T15:33:16Z</dcterms:created>
  <dcterms:modified xsi:type="dcterms:W3CDTF">2025-10-08T15:33:16Z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Skia/PDF m142 Google Docs Renderer;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</vt:lpwstr>
  </property>
</Properties>
</file>