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1" w:right="-29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276465" cy="1074420"/>
                <wp:effectExtent l="0" t="0" r="634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276465" cy="1074420"/>
                          <a:chExt cx="7276465" cy="107442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74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94665" y="984250"/>
                            <a:ext cx="678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0" h="0">
                                <a:moveTo>
                                  <a:pt x="0" y="0"/>
                                </a:moveTo>
                                <a:lnTo>
                                  <a:pt x="67818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7276465" cy="1074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40" w:lineRule="auto" w:before="235"/>
                                <w:rPr>
                                  <w:rFonts w:ascii="Times New Roman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line="294" w:lineRule="exact" w:before="0"/>
                                <w:ind w:left="0" w:right="-15" w:firstLine="0"/>
                                <w:jc w:val="right"/>
                                <w:rPr>
                                  <w:rFonts w:ascii="Century Gothic" w:hAnsi="Century Gothic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División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Gestión</w:t>
                              </w:r>
                              <w:r>
                                <w:rPr>
                                  <w:rFonts w:ascii="Century Gothic" w:hAnsi="Century Gothic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pacing w:val="-2"/>
                                  <w:sz w:val="22"/>
                                </w:rPr>
                                <w:t>Apoyo</w:t>
                              </w:r>
                            </w:p>
                            <w:p>
                              <w:pPr>
                                <w:spacing w:line="265" w:lineRule="exact" w:before="0"/>
                                <w:ind w:left="0" w:right="-15" w:firstLine="0"/>
                                <w:jc w:val="right"/>
                                <w:rPr>
                                  <w:rFonts w:ascii="Century Gothic" w:hAnsi="Century Gothic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Unidad</w:t>
                              </w:r>
                              <w:r>
                                <w:rPr>
                                  <w:rFonts w:ascii="Century Gothic" w:hAnsi="Century Gothic"/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z w:val="20"/>
                                </w:rPr>
                                <w:t>Administración</w:t>
                              </w:r>
                              <w:r>
                                <w:rPr>
                                  <w:rFonts w:ascii="Century Gothic" w:hAnsi="Century Gothic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Century Gothic" w:hAnsi="Century Gothic"/>
                                  <w:spacing w:val="-2"/>
                                  <w:sz w:val="20"/>
                                </w:rPr>
                                <w:t>Financiera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72.950pt;height:84.6pt;mso-position-horizontal-relative:char;mso-position-vertical-relative:line" id="docshapegroup1" coordorigin="0,0" coordsize="11459,1692">
                <v:shape style="position:absolute;left:0;top:0;width:2295;height:1692" type="#_x0000_t75" id="docshape2" stroked="false">
                  <v:imagedata r:id="rId5" o:title=""/>
                </v:shape>
                <v:line style="position:absolute" from="779,1550" to="11459,1550" stroked="true" strokeweight="1.0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459;height:1692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40" w:lineRule="auto" w:before="235"/>
                          <w:rPr>
                            <w:rFonts w:ascii="Times New Roman"/>
                            <w:sz w:val="22"/>
                          </w:rPr>
                        </w:pPr>
                      </w:p>
                      <w:p>
                        <w:pPr>
                          <w:spacing w:line="294" w:lineRule="exact" w:before="0"/>
                          <w:ind w:left="0" w:right="-15" w:firstLine="0"/>
                          <w:jc w:val="right"/>
                          <w:rPr>
                            <w:rFonts w:ascii="Century Gothic" w:hAnsi="Century Gothic"/>
                            <w:sz w:val="22"/>
                          </w:rPr>
                        </w:pPr>
                        <w:r>
                          <w:rPr>
                            <w:rFonts w:ascii="Century Gothic" w:hAnsi="Century Gothic"/>
                            <w:sz w:val="22"/>
                          </w:rPr>
                          <w:t>División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Gestión</w:t>
                        </w:r>
                        <w:r>
                          <w:rPr>
                            <w:rFonts w:ascii="Century Gothic" w:hAnsi="Century Gothic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2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-2"/>
                            <w:sz w:val="22"/>
                          </w:rPr>
                          <w:t>Apoyo</w:t>
                        </w:r>
                      </w:p>
                      <w:p>
                        <w:pPr>
                          <w:spacing w:line="265" w:lineRule="exact" w:before="0"/>
                          <w:ind w:left="0" w:right="-15" w:firstLine="0"/>
                          <w:jc w:val="right"/>
                          <w:rPr>
                            <w:rFonts w:ascii="Century Gothic" w:hAnsi="Century Gothic"/>
                            <w:sz w:val="20"/>
                          </w:rPr>
                        </w:pPr>
                        <w:r>
                          <w:rPr>
                            <w:rFonts w:ascii="Century Gothic" w:hAnsi="Century Gothic"/>
                            <w:sz w:val="20"/>
                          </w:rPr>
                          <w:t>Unidad</w:t>
                        </w:r>
                        <w:r>
                          <w:rPr>
                            <w:rFonts w:ascii="Century Gothic" w:hAnsi="Century Gothic"/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0"/>
                          </w:rPr>
                          <w:t>de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z w:val="20"/>
                          </w:rPr>
                          <w:t>Administración</w:t>
                        </w:r>
                        <w:r>
                          <w:rPr>
                            <w:rFonts w:ascii="Century Gothic" w:hAnsi="Century Gothic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Century Gothic" w:hAnsi="Century Gothic"/>
                            <w:spacing w:val="-2"/>
                            <w:sz w:val="20"/>
                          </w:rPr>
                          <w:t>Financiera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0" w:bottom="280" w:left="0" w:right="72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27"/>
        <w:rPr>
          <w:rFonts w:ascii="Times New Roman"/>
        </w:rPr>
      </w:pPr>
    </w:p>
    <w:p>
      <w:pPr>
        <w:pStyle w:val="BodyText"/>
        <w:spacing w:before="1"/>
        <w:ind w:left="5961"/>
      </w:pPr>
      <w:r>
        <w:rPr/>
        <w:t>27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marzo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2026</w:t>
      </w:r>
    </w:p>
    <w:p>
      <w:pPr>
        <w:pStyle w:val="Heading1"/>
      </w:pPr>
      <w:r>
        <w:rPr>
          <w:spacing w:val="-2"/>
        </w:rPr>
        <w:t>DGA-UAF-</w:t>
      </w:r>
      <w:r>
        <w:rPr>
          <w:spacing w:val="-4"/>
        </w:rPr>
        <w:t>0070</w:t>
      </w:r>
    </w:p>
    <w:p>
      <w:pPr>
        <w:pStyle w:val="BodyText"/>
        <w:spacing w:line="288" w:lineRule="auto" w:before="92"/>
        <w:ind w:left="552" w:right="978" w:hanging="170"/>
        <w:rPr>
          <w:b/>
          <w:sz w:val="36"/>
        </w:rPr>
      </w:pPr>
      <w:r>
        <w:rPr/>
        <w:br w:type="column"/>
      </w:r>
      <w:r>
        <w:rPr/>
        <w:t>Al</w:t>
      </w:r>
      <w:r>
        <w:rPr>
          <w:spacing w:val="-16"/>
        </w:rPr>
        <w:t> </w:t>
      </w:r>
      <w:r>
        <w:rPr/>
        <w:t>contestar</w:t>
      </w:r>
      <w:r>
        <w:rPr>
          <w:spacing w:val="-15"/>
        </w:rPr>
        <w:t> </w:t>
      </w:r>
      <w:r>
        <w:rPr/>
        <w:t>refiérase al</w:t>
      </w:r>
      <w:r>
        <w:rPr>
          <w:spacing w:val="-4"/>
        </w:rPr>
        <w:t> </w:t>
      </w:r>
      <w:r>
        <w:rPr/>
        <w:t>oficio</w:t>
      </w:r>
      <w:r>
        <w:rPr>
          <w:spacing w:val="-3"/>
        </w:rPr>
        <w:t> </w:t>
      </w:r>
      <w:r>
        <w:rPr/>
        <w:t>Nº</w:t>
      </w:r>
      <w:r>
        <w:rPr>
          <w:spacing w:val="-3"/>
        </w:rPr>
        <w:t> </w:t>
      </w:r>
      <w:r>
        <w:rPr>
          <w:b/>
          <w:spacing w:val="-4"/>
          <w:sz w:val="36"/>
          <w:u w:val="single"/>
        </w:rPr>
        <w:t>3583</w:t>
      </w:r>
    </w:p>
    <w:p>
      <w:pPr>
        <w:pStyle w:val="BodyText"/>
        <w:spacing w:after="0" w:line="288" w:lineRule="auto"/>
        <w:rPr>
          <w:b/>
          <w:sz w:val="36"/>
        </w:rPr>
        <w:sectPr>
          <w:type w:val="continuous"/>
          <w:pgSz w:w="12240" w:h="15840"/>
          <w:pgMar w:top="0" w:bottom="280" w:left="0" w:right="720"/>
          <w:cols w:num="2" w:equalWidth="0">
            <w:col w:w="8039" w:space="40"/>
            <w:col w:w="3441"/>
          </w:cols>
        </w:sectPr>
      </w:pPr>
    </w:p>
    <w:p>
      <w:pPr>
        <w:pStyle w:val="BodyText"/>
        <w:spacing w:before="93"/>
        <w:rPr>
          <w:b/>
        </w:rPr>
      </w:pPr>
    </w:p>
    <w:p>
      <w:pPr>
        <w:pStyle w:val="BodyText"/>
        <w:spacing w:line="285" w:lineRule="auto" w:before="1"/>
        <w:ind w:left="1701" w:right="8253"/>
      </w:pPr>
      <w:r>
        <w:rPr>
          <w:spacing w:val="-2"/>
        </w:rPr>
        <w:t>Licenciado</w:t>
      </w:r>
      <w:r>
        <w:rPr>
          <w:spacing w:val="80"/>
        </w:rPr>
        <w:t> </w:t>
      </w:r>
      <w:r>
        <w:rPr/>
        <w:t>Errol</w:t>
      </w:r>
      <w:r>
        <w:rPr>
          <w:spacing w:val="-16"/>
        </w:rPr>
        <w:t> </w:t>
      </w:r>
      <w:r>
        <w:rPr/>
        <w:t>Solís</w:t>
      </w:r>
      <w:r>
        <w:rPr>
          <w:spacing w:val="-15"/>
        </w:rPr>
        <w:t> </w:t>
      </w:r>
      <w:r>
        <w:rPr/>
        <w:t>Mata</w:t>
      </w:r>
    </w:p>
    <w:p>
      <w:pPr>
        <w:spacing w:line="285" w:lineRule="auto" w:before="0"/>
        <w:ind w:left="1701" w:right="5438" w:firstLine="0"/>
        <w:jc w:val="left"/>
        <w:rPr>
          <w:b/>
          <w:sz w:val="22"/>
        </w:rPr>
      </w:pPr>
      <w:bookmarkStart w:name="Director General " w:id="1"/>
      <w:bookmarkEnd w:id="1"/>
      <w:r>
        <w:rPr/>
      </w:r>
      <w:r>
        <w:rPr>
          <w:sz w:val="22"/>
        </w:rPr>
        <w:t>Director General </w:t>
      </w:r>
      <w:hyperlink r:id="rId6">
        <w:r>
          <w:rPr>
            <w:color w:val="1154CC"/>
            <w:spacing w:val="-2"/>
            <w:sz w:val="22"/>
            <w:u w:val="thick" w:color="1154CC"/>
          </w:rPr>
          <w:t>contabilidad@hacienda.go.cr</w:t>
        </w:r>
      </w:hyperlink>
      <w:r>
        <w:rPr>
          <w:color w:val="1154CC"/>
          <w:spacing w:val="-2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CONTABILIDAD</w:t>
      </w:r>
      <w:r>
        <w:rPr>
          <w:b/>
          <w:spacing w:val="-14"/>
          <w:sz w:val="22"/>
          <w:u w:val="none"/>
        </w:rPr>
        <w:t> </w:t>
      </w:r>
      <w:r>
        <w:rPr>
          <w:b/>
          <w:spacing w:val="-2"/>
          <w:sz w:val="22"/>
          <w:u w:val="none"/>
        </w:rPr>
        <w:t>NACIONAL</w:t>
      </w:r>
    </w:p>
    <w:p>
      <w:pPr>
        <w:pStyle w:val="BodyText"/>
        <w:spacing w:before="41"/>
        <w:rPr>
          <w:b/>
        </w:rPr>
      </w:pPr>
    </w:p>
    <w:p>
      <w:pPr>
        <w:pStyle w:val="BodyText"/>
        <w:ind w:left="1701"/>
      </w:pPr>
      <w:r>
        <w:rPr/>
        <w:t>Estimado</w:t>
      </w:r>
      <w:r>
        <w:rPr>
          <w:spacing w:val="-8"/>
        </w:rPr>
        <w:t> </w:t>
      </w:r>
      <w:r>
        <w:rPr>
          <w:spacing w:val="-2"/>
        </w:rPr>
        <w:t>señor:</w:t>
      </w:r>
    </w:p>
    <w:p>
      <w:pPr>
        <w:pStyle w:val="BodyText"/>
        <w:spacing w:before="94"/>
      </w:pPr>
    </w:p>
    <w:p>
      <w:pPr>
        <w:pStyle w:val="BodyText"/>
        <w:spacing w:before="1"/>
        <w:ind w:left="660" w:right="987"/>
        <w:jc w:val="center"/>
      </w:pPr>
      <w:r>
        <w:rPr>
          <w:b/>
        </w:rPr>
        <w:t>Asunto:</w:t>
      </w:r>
      <w:r>
        <w:rPr>
          <w:b/>
          <w:spacing w:val="-8"/>
        </w:rPr>
        <w:t> </w:t>
      </w:r>
      <w:r>
        <w:rPr/>
        <w:t>Remisión</w:t>
      </w:r>
      <w:r>
        <w:rPr>
          <w:spacing w:val="-5"/>
        </w:rPr>
        <w:t> </w:t>
      </w:r>
      <w:r>
        <w:rPr/>
        <w:t>Estados</w:t>
      </w:r>
      <w:r>
        <w:rPr>
          <w:spacing w:val="-5"/>
        </w:rPr>
        <w:t> </w:t>
      </w:r>
      <w:r>
        <w:rPr/>
        <w:t>Financieros</w:t>
      </w:r>
      <w:r>
        <w:rPr>
          <w:spacing w:val="-6"/>
        </w:rPr>
        <w:t> </w:t>
      </w:r>
      <w:r>
        <w:rPr/>
        <w:t>al</w:t>
      </w:r>
      <w:r>
        <w:rPr>
          <w:spacing w:val="-5"/>
        </w:rPr>
        <w:t> </w:t>
      </w:r>
      <w:r>
        <w:rPr/>
        <w:t>28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febrero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  <w:spacing w:before="183"/>
      </w:pPr>
    </w:p>
    <w:p>
      <w:pPr>
        <w:pStyle w:val="BodyText"/>
        <w:spacing w:line="369" w:lineRule="auto" w:before="1"/>
        <w:ind w:left="1701" w:right="1046" w:firstLine="705"/>
        <w:jc w:val="both"/>
      </w:pPr>
      <w:r>
        <w:rPr/>
        <w:t>Con el fin de cumplir con lo dispuesto en la</w:t>
      </w:r>
      <w:r>
        <w:rPr>
          <w:spacing w:val="-3"/>
        </w:rPr>
        <w:t> </w:t>
      </w:r>
      <w:r>
        <w:rPr/>
        <w:t>Directriz</w:t>
      </w:r>
      <w:r>
        <w:rPr>
          <w:spacing w:val="-3"/>
        </w:rPr>
        <w:t> </w:t>
      </w:r>
      <w:r>
        <w:rPr/>
        <w:t>DCN-0012-2021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fecha</w:t>
      </w:r>
      <w:r>
        <w:rPr>
          <w:spacing w:val="-3"/>
        </w:rPr>
        <w:t> </w:t>
      </w:r>
      <w:r>
        <w:rPr/>
        <w:t>07 de diciembre de 2021, adjunto encontrará los Estados Financieros (EEFF) de esta Institución y anexos correspondientes al 28 de febrero de 2026.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"/>
      </w:pPr>
    </w:p>
    <w:p>
      <w:pPr>
        <w:pStyle w:val="BodyText"/>
        <w:ind w:left="987" w:right="327"/>
        <w:jc w:val="center"/>
      </w:pPr>
      <w:r>
        <w:rPr>
          <w:spacing w:val="-2"/>
        </w:rPr>
        <w:t>Atentamente,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9"/>
        <w:rPr>
          <w:sz w:val="20"/>
        </w:rPr>
      </w:pPr>
    </w:p>
    <w:tbl>
      <w:tblPr>
        <w:tblW w:w="0" w:type="auto"/>
        <w:jc w:val="left"/>
        <w:tblInd w:w="1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23"/>
        <w:gridCol w:w="4016"/>
      </w:tblGrid>
      <w:tr>
        <w:trPr>
          <w:trHeight w:val="1277" w:hRule="atLeast"/>
        </w:trPr>
        <w:tc>
          <w:tcPr>
            <w:tcW w:w="5323" w:type="dxa"/>
          </w:tcPr>
          <w:p>
            <w:pPr>
              <w:pStyle w:val="TableParagraph"/>
              <w:spacing w:line="246" w:lineRule="exact"/>
              <w:ind w:right="457"/>
              <w:jc w:val="center"/>
              <w:rPr>
                <w:sz w:val="22"/>
              </w:rPr>
            </w:pPr>
            <w:r>
              <w:rPr>
                <w:sz w:val="22"/>
              </w:rPr>
              <w:t>Licda.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Marta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Acosta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Zúñiga</w:t>
            </w:r>
          </w:p>
          <w:p>
            <w:pPr>
              <w:pStyle w:val="TableParagraph"/>
              <w:spacing w:before="47"/>
              <w:ind w:right="45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CONTRALORA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GENERAL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REPÚBLICA</w:t>
            </w:r>
          </w:p>
        </w:tc>
        <w:tc>
          <w:tcPr>
            <w:tcW w:w="4016" w:type="dxa"/>
          </w:tcPr>
          <w:p>
            <w:pPr>
              <w:pStyle w:val="TableParagraph"/>
              <w:spacing w:line="246" w:lineRule="exact"/>
              <w:ind w:left="644"/>
              <w:rPr>
                <w:sz w:val="22"/>
              </w:rPr>
            </w:pPr>
            <w:r>
              <w:rPr>
                <w:sz w:val="22"/>
              </w:rPr>
              <w:t>M.I.I.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Carlos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Madrigal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Bravo</w:t>
            </w:r>
          </w:p>
          <w:p>
            <w:pPr>
              <w:pStyle w:val="TableParagraph"/>
              <w:spacing w:line="285" w:lineRule="auto" w:before="47"/>
              <w:ind w:left="1560" w:hanging="1051"/>
              <w:rPr>
                <w:b/>
                <w:sz w:val="22"/>
              </w:rPr>
            </w:pPr>
            <w:r>
              <w:rPr>
                <w:b/>
                <w:sz w:val="22"/>
              </w:rPr>
              <w:t>JEFE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UNIDAD</w:t>
            </w:r>
            <w:r>
              <w:rPr>
                <w:b/>
                <w:spacing w:val="-15"/>
                <w:sz w:val="22"/>
              </w:rPr>
              <w:t> </w:t>
            </w:r>
            <w:r>
              <w:rPr>
                <w:b/>
                <w:sz w:val="22"/>
              </w:rPr>
              <w:t>ADMINISTRACIÓN </w:t>
            </w:r>
            <w:r>
              <w:rPr>
                <w:b/>
                <w:spacing w:val="-2"/>
                <w:sz w:val="22"/>
              </w:rPr>
              <w:t>FINANCIERA</w:t>
            </w:r>
          </w:p>
        </w:tc>
      </w:tr>
      <w:tr>
        <w:trPr>
          <w:trHeight w:val="977" w:hRule="atLeast"/>
        </w:trPr>
        <w:tc>
          <w:tcPr>
            <w:tcW w:w="5323" w:type="dxa"/>
          </w:tcPr>
          <w:p>
            <w:pPr>
              <w:pStyle w:val="TableParagraph"/>
              <w:spacing w:before="171"/>
              <w:rPr>
                <w:sz w:val="22"/>
              </w:rPr>
            </w:pPr>
          </w:p>
          <w:p>
            <w:pPr>
              <w:pStyle w:val="TableParagraph"/>
              <w:spacing w:before="1"/>
              <w:ind w:right="457"/>
              <w:jc w:val="center"/>
              <w:rPr>
                <w:sz w:val="22"/>
              </w:rPr>
            </w:pPr>
            <w:r>
              <w:rPr>
                <w:sz w:val="22"/>
              </w:rPr>
              <w:t>Licda.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Jeannette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Fallas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Castro</w:t>
            </w:r>
          </w:p>
          <w:p>
            <w:pPr>
              <w:pStyle w:val="TableParagraph"/>
              <w:spacing w:line="233" w:lineRule="exact" w:before="47"/>
              <w:ind w:right="457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CONTADORA</w:t>
            </w:r>
          </w:p>
        </w:tc>
        <w:tc>
          <w:tcPr>
            <w:tcW w:w="4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3"/>
        <w:rPr>
          <w:sz w:val="20"/>
        </w:rPr>
      </w:pPr>
    </w:p>
    <w:p>
      <w:pPr>
        <w:spacing w:before="0"/>
        <w:ind w:left="1701" w:right="0" w:firstLine="0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4379851</wp:posOffset>
            </wp:positionH>
            <wp:positionV relativeFrom="paragraph">
              <wp:posOffset>-878845</wp:posOffset>
            </wp:positionV>
            <wp:extent cx="1572033" cy="500443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033" cy="500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ci:</w:t>
      </w:r>
      <w:r>
        <w:rPr>
          <w:spacing w:val="-8"/>
          <w:sz w:val="20"/>
        </w:rPr>
        <w:t> </w:t>
      </w:r>
      <w:r>
        <w:rPr>
          <w:sz w:val="20"/>
        </w:rPr>
        <w:t>Contabilidad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CGR</w:t>
      </w:r>
    </w:p>
    <w:p>
      <w:pPr>
        <w:spacing w:before="40"/>
        <w:ind w:left="1701" w:right="0" w:firstLine="0"/>
        <w:jc w:val="left"/>
        <w:rPr>
          <w:b/>
          <w:sz w:val="20"/>
        </w:rPr>
      </w:pPr>
      <w:r>
        <w:rPr>
          <w:b/>
          <w:sz w:val="20"/>
        </w:rPr>
        <w:t>G.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2026000164-</w:t>
      </w:r>
      <w:r>
        <w:rPr>
          <w:b/>
          <w:spacing w:val="-10"/>
          <w:sz w:val="20"/>
        </w:rPr>
        <w:t>2</w:t>
      </w:r>
    </w:p>
    <w:p>
      <w:pPr>
        <w:spacing w:before="40"/>
        <w:ind w:left="1701" w:right="0" w:firstLine="0"/>
        <w:jc w:val="left"/>
        <w:rPr>
          <w:b/>
          <w:sz w:val="20"/>
        </w:rPr>
      </w:pPr>
      <w:r>
        <w:rPr>
          <w:b/>
          <w:sz w:val="20"/>
        </w:rPr>
        <w:t>C.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2026004541</w:t>
      </w:r>
    </w:p>
    <w:p>
      <w:pPr>
        <w:pStyle w:val="BodyText"/>
        <w:spacing w:before="134"/>
        <w:rPr>
          <w:b/>
          <w:sz w:val="14"/>
        </w:rPr>
      </w:pPr>
    </w:p>
    <w:p>
      <w:pPr>
        <w:spacing w:line="177" w:lineRule="auto" w:before="0"/>
        <w:ind w:left="6686" w:right="33" w:firstLine="2338"/>
        <w:jc w:val="right"/>
        <w:rPr>
          <w:rFonts w:ascii="Century Gothic" w:hAnsi="Century Gothic"/>
          <w:sz w:val="14"/>
        </w:rPr>
      </w:pPr>
      <w:r>
        <w:rPr>
          <w:rFonts w:ascii="Century Gothic Bold" w:hAnsi="Century Gothic Bold"/>
          <w:b/>
          <w:color w:val="24387C"/>
          <w:sz w:val="14"/>
        </w:rPr>
        <w:t>Contraloría</w:t>
      </w:r>
      <w:r>
        <w:rPr>
          <w:rFonts w:ascii="Century Gothic Bold" w:hAnsi="Century Gothic Bold"/>
          <w:b/>
          <w:color w:val="24387C"/>
          <w:spacing w:val="-10"/>
          <w:sz w:val="14"/>
        </w:rPr>
        <w:t> </w:t>
      </w:r>
      <w:r>
        <w:rPr>
          <w:rFonts w:ascii="Century Gothic Bold" w:hAnsi="Century Gothic Bold"/>
          <w:b/>
          <w:color w:val="24387C"/>
          <w:sz w:val="14"/>
        </w:rPr>
        <w:t>General</w:t>
      </w:r>
      <w:r>
        <w:rPr>
          <w:rFonts w:ascii="Century Gothic Bold" w:hAnsi="Century Gothic Bold"/>
          <w:b/>
          <w:color w:val="24387C"/>
          <w:spacing w:val="-10"/>
          <w:sz w:val="14"/>
        </w:rPr>
        <w:t> </w:t>
      </w:r>
      <w:r>
        <w:rPr>
          <w:rFonts w:ascii="Century Gothic Bold" w:hAnsi="Century Gothic Bold"/>
          <w:b/>
          <w:color w:val="24387C"/>
          <w:sz w:val="14"/>
        </w:rPr>
        <w:t>de</w:t>
      </w:r>
      <w:r>
        <w:rPr>
          <w:rFonts w:ascii="Century Gothic Bold" w:hAnsi="Century Gothic Bold"/>
          <w:b/>
          <w:color w:val="24387C"/>
          <w:spacing w:val="-10"/>
          <w:sz w:val="14"/>
        </w:rPr>
        <w:t> </w:t>
      </w:r>
      <w:r>
        <w:rPr>
          <w:rFonts w:ascii="Century Gothic Bold" w:hAnsi="Century Gothic Bold"/>
          <w:b/>
          <w:color w:val="24387C"/>
          <w:sz w:val="14"/>
        </w:rPr>
        <w:t>la</w:t>
      </w:r>
      <w:r>
        <w:rPr>
          <w:rFonts w:ascii="Century Gothic Bold" w:hAnsi="Century Gothic Bold"/>
          <w:b/>
          <w:color w:val="24387C"/>
          <w:spacing w:val="-9"/>
          <w:sz w:val="14"/>
        </w:rPr>
        <w:t> </w:t>
      </w:r>
      <w:r>
        <w:rPr>
          <w:rFonts w:ascii="Century Gothic Bold" w:hAnsi="Century Gothic Bold"/>
          <w:b/>
          <w:color w:val="24387C"/>
          <w:sz w:val="14"/>
        </w:rPr>
        <w:t>República</w:t>
      </w:r>
      <w:r>
        <w:rPr>
          <w:rFonts w:ascii="Century Gothic Bold" w:hAnsi="Century Gothic Bold"/>
          <w:b/>
          <w:color w:val="24387C"/>
          <w:spacing w:val="40"/>
          <w:sz w:val="14"/>
        </w:rPr>
        <w:t> </w:t>
      </w:r>
      <w:r>
        <w:rPr>
          <w:rFonts w:ascii="Century Gothic" w:hAnsi="Century Gothic"/>
          <w:color w:val="24387C"/>
          <w:sz w:val="14"/>
        </w:rPr>
        <w:t>T: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(506)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2501-8071,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F: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(506)</w:t>
      </w:r>
      <w:r>
        <w:rPr>
          <w:rFonts w:ascii="Century Gothic" w:hAnsi="Century Gothic"/>
          <w:color w:val="24387C"/>
          <w:spacing w:val="-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2220-3110</w:t>
      </w:r>
      <w:r>
        <w:rPr>
          <w:rFonts w:ascii="Century Gothic" w:hAnsi="Century Gothic"/>
          <w:color w:val="24387C"/>
          <w:spacing w:val="65"/>
          <w:sz w:val="14"/>
        </w:rPr>
        <w:t> </w:t>
      </w:r>
      <w:r>
        <w:rPr>
          <w:rFonts w:ascii="Century Gothic" w:hAnsi="Century Gothic"/>
          <w:color w:val="24387C"/>
          <w:sz w:val="14"/>
        </w:rPr>
        <w:t>C:</w:t>
      </w:r>
      <w:r>
        <w:rPr>
          <w:rFonts w:ascii="Century Gothic" w:hAnsi="Century Gothic"/>
          <w:color w:val="24387C"/>
          <w:spacing w:val="-5"/>
          <w:sz w:val="14"/>
        </w:rPr>
        <w:t> </w:t>
      </w:r>
      <w:hyperlink r:id="rId8">
        <w:r>
          <w:rPr>
            <w:rFonts w:ascii="Century Gothic" w:hAnsi="Century Gothic"/>
            <w:color w:val="24387C"/>
            <w:sz w:val="14"/>
          </w:rPr>
          <w:t>contraloria.general@cgr.go.cr</w:t>
        </w:r>
      </w:hyperlink>
      <w:r>
        <w:rPr>
          <w:rFonts w:ascii="Century Gothic" w:hAnsi="Century Gothic"/>
          <w:color w:val="24387C"/>
          <w:spacing w:val="40"/>
          <w:sz w:val="14"/>
        </w:rPr>
        <w:t> </w:t>
      </w:r>
      <w:hyperlink r:id="rId9">
        <w:r>
          <w:rPr>
            <w:rFonts w:ascii="Century Gothic" w:hAnsi="Century Gothic"/>
            <w:color w:val="0000FF"/>
            <w:sz w:val="14"/>
            <w:u w:val="thick" w:color="0000FF"/>
          </w:rPr>
          <w:t>http://www.cgr.go.cr/</w:t>
        </w:r>
      </w:hyperlink>
      <w:r>
        <w:rPr>
          <w:rFonts w:ascii="Century Gothic" w:hAnsi="Century Gothic"/>
          <w:color w:val="0000FF"/>
          <w:spacing w:val="80"/>
          <w:sz w:val="14"/>
          <w:u w:val="none"/>
        </w:rPr>
        <w:t> </w:t>
      </w:r>
      <w:r>
        <w:rPr>
          <w:rFonts w:ascii="Century Gothic" w:hAnsi="Century Gothic"/>
          <w:color w:val="24387C"/>
          <w:sz w:val="14"/>
          <w:u w:val="none"/>
        </w:rPr>
        <w:t>Apdo. 1179-1000, San José, Costa Rica</w:t>
      </w:r>
    </w:p>
    <w:sectPr>
      <w:type w:val="continuous"/>
      <w:pgSz w:w="12240" w:h="15840"/>
      <w:pgMar w:top="0" w:bottom="280" w:left="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auto"/>
    <w:pitch w:val="default"/>
  </w:font>
  <w:font w:name="Century Gothic Bold">
    <w:altName w:val="Century Gothic Bold"/>
    <w:charset w:val="0"/>
    <w:family w:val="auto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47"/>
      <w:ind w:left="5961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ontabilidad@hacienda.go.cr" TargetMode="External"/><Relationship Id="rId7" Type="http://schemas.openxmlformats.org/officeDocument/2006/relationships/image" Target="media/image2.png"/><Relationship Id="rId8" Type="http://schemas.openxmlformats.org/officeDocument/2006/relationships/hyperlink" Target="mailto:contraloria.general@cgr.go.cr" TargetMode="External"/><Relationship Id="rId9" Type="http://schemas.openxmlformats.org/officeDocument/2006/relationships/hyperlink" Target="http://www.cgr.go.cr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DGA-UAF-0070 (3583) CN Estados Financieros Febrero 2026</dc:title>
  <dcterms:created xsi:type="dcterms:W3CDTF">2026-04-08T19:57:28Z</dcterms:created>
  <dcterms:modified xsi:type="dcterms:W3CDTF">2026-04-08T19:57:28Z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  <property fmtid="{D5CDD505-2E9C-101B-9397-08002B2CF9AE}" pid="4" name="Producer">
    <vt:lpwstr>Skia/PDF m148 Google Docs Renderer;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NV; modified using iText® Core 7.2.0 (AGPL version) ©2000-2021 iText Group NV</vt:lpwstr>
  </property>
</Properties>
</file>