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276465" cy="1074420"/>
                <wp:effectExtent l="0" t="0" r="634" b="190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76465" cy="1074420"/>
                          <a:chExt cx="7276465" cy="107442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74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94665" y="984250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276465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9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470" w:lineRule="exact" w:before="1"/>
                                <w:ind w:left="0" w:right="-15" w:firstLine="0"/>
                                <w:jc w:val="right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División</w:t>
                              </w:r>
                              <w:r>
                                <w:rPr>
                                  <w:rFonts w:ascii="Century Gothic" w:hAnsi="Century Gothi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Gestión</w:t>
                              </w:r>
                              <w:r>
                                <w:rPr>
                                  <w:rFonts w:ascii="Century Gothic" w:hAnsi="Century Gothi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pacing w:val="-2"/>
                                  <w:sz w:val="22"/>
                                </w:rPr>
                                <w:t>Apoyo</w:t>
                              </w:r>
                            </w:p>
                            <w:p>
                              <w:pPr>
                                <w:spacing w:line="412" w:lineRule="exact" w:before="0"/>
                                <w:ind w:left="0" w:right="-15" w:firstLine="0"/>
                                <w:jc w:val="right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Unidad</w:t>
                              </w:r>
                              <w:r>
                                <w:rPr>
                                  <w:rFonts w:ascii="Century Gothic" w:hAnsi="Century Gothic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Administración</w:t>
                              </w:r>
                              <w:r>
                                <w:rPr>
                                  <w:rFonts w:ascii="Century Gothic" w:hAnsi="Century Gothic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pacing w:val="-2"/>
                                  <w:sz w:val="20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2.950pt;height:84.6pt;mso-position-horizontal-relative:char;mso-position-vertical-relative:line" id="docshapegroup2" coordorigin="0,0" coordsize="11459,1692">
                <v:shape style="position:absolute;left:0;top:0;width:2295;height:1692" type="#_x0000_t75" id="docshape3" stroked="false">
                  <v:imagedata r:id="rId6" o:title=""/>
                </v:shape>
                <v:line style="position:absolute" from="779,1550" to="11459,1550" stroked="true" strokeweight="1.0pt" strokecolor="#000000">
                  <v:stroke dashstyle="solid"/>
                </v:line>
                <v:shape style="position:absolute;left:0;top:0;width:11459;height:169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22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470" w:lineRule="exact" w:before="1"/>
                          <w:ind w:left="0" w:right="-15" w:firstLine="0"/>
                          <w:jc w:val="right"/>
                          <w:rPr>
                            <w:rFonts w:ascii="Century Gothic" w:hAnsi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>División</w:t>
                        </w:r>
                        <w:r>
                          <w:rPr>
                            <w:rFonts w:ascii="Century Gothic" w:hAnsi="Century Gothi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Gestión</w:t>
                        </w:r>
                        <w:r>
                          <w:rPr>
                            <w:rFonts w:ascii="Century Gothic" w:hAnsi="Century Gothi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pacing w:val="-2"/>
                            <w:sz w:val="22"/>
                          </w:rPr>
                          <w:t>Apoyo</w:t>
                        </w:r>
                      </w:p>
                      <w:p>
                        <w:pPr>
                          <w:spacing w:line="412" w:lineRule="exact" w:before="0"/>
                          <w:ind w:left="0" w:right="-15" w:firstLine="0"/>
                          <w:jc w:val="right"/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Unidad</w:t>
                        </w:r>
                        <w:r>
                          <w:rPr>
                            <w:rFonts w:ascii="Century Gothic" w:hAnsi="Century Gothic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Administración</w:t>
                        </w:r>
                        <w:r>
                          <w:rPr>
                            <w:rFonts w:ascii="Century Gothic" w:hAnsi="Century Gothic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pacing w:val="-2"/>
                            <w:sz w:val="20"/>
                          </w:rPr>
                          <w:t>Financiera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88" w:lineRule="auto" w:before="92"/>
        <w:ind w:left="8631" w:right="1058" w:hanging="170"/>
        <w:jc w:val="right"/>
        <w:rPr>
          <w:b/>
          <w:sz w:val="36"/>
        </w:rPr>
      </w:pPr>
      <w:r>
        <w:rPr/>
        <w:t>Al</w:t>
      </w:r>
      <w:r>
        <w:rPr>
          <w:spacing w:val="-16"/>
        </w:rPr>
        <w:t> </w:t>
      </w:r>
      <w:r>
        <w:rPr/>
        <w:t>contestar</w:t>
      </w:r>
      <w:r>
        <w:rPr>
          <w:spacing w:val="-15"/>
        </w:rPr>
        <w:t> </w:t>
      </w:r>
      <w:r>
        <w:rPr/>
        <w:t>refiérase al</w:t>
      </w:r>
      <w:r>
        <w:rPr>
          <w:spacing w:val="-4"/>
        </w:rPr>
        <w:t> </w:t>
      </w:r>
      <w:r>
        <w:rPr/>
        <w:t>oficio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>
          <w:b/>
          <w:spacing w:val="-4"/>
          <w:sz w:val="36"/>
          <w:u w:val="single"/>
        </w:rPr>
        <w:t>7290</w:t>
      </w:r>
    </w:p>
    <w:p>
      <w:pPr>
        <w:pStyle w:val="BodyText"/>
        <w:spacing w:before="41"/>
        <w:rPr>
          <w:b/>
        </w:rPr>
      </w:pPr>
    </w:p>
    <w:p>
      <w:pPr>
        <w:pStyle w:val="BodyText"/>
        <w:ind w:left="5961"/>
      </w:pPr>
      <w:r>
        <w:rPr/>
        <w:t>26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Title"/>
      </w:pPr>
      <w:r>
        <w:rPr>
          <w:spacing w:val="-2"/>
        </w:rPr>
        <w:t>DGA-UAF-</w:t>
      </w:r>
      <w:r>
        <w:rPr>
          <w:spacing w:val="-4"/>
        </w:rPr>
        <w:t>0068</w:t>
      </w:r>
    </w:p>
    <w:p>
      <w:pPr>
        <w:pStyle w:val="BodyText"/>
        <w:spacing w:before="94"/>
        <w:rPr>
          <w:b/>
        </w:rPr>
      </w:pPr>
    </w:p>
    <w:p>
      <w:pPr>
        <w:pStyle w:val="BodyText"/>
        <w:spacing w:line="285" w:lineRule="auto"/>
        <w:ind w:left="1701" w:right="8333"/>
      </w:pPr>
      <w:r>
        <w:rPr>
          <w:spacing w:val="-2"/>
        </w:rPr>
        <w:t>Licenciado</w:t>
      </w:r>
      <w:r>
        <w:rPr>
          <w:spacing w:val="80"/>
        </w:rPr>
        <w:t> </w:t>
      </w:r>
      <w:r>
        <w:rPr/>
        <w:t>Errol</w:t>
      </w:r>
      <w:r>
        <w:rPr>
          <w:spacing w:val="-16"/>
        </w:rPr>
        <w:t> </w:t>
      </w:r>
      <w:r>
        <w:rPr/>
        <w:t>Solís</w:t>
      </w:r>
      <w:r>
        <w:rPr>
          <w:spacing w:val="-15"/>
        </w:rPr>
        <w:t> </w:t>
      </w:r>
      <w:r>
        <w:rPr/>
        <w:t>Mata</w:t>
      </w:r>
    </w:p>
    <w:p>
      <w:pPr>
        <w:spacing w:line="285" w:lineRule="auto" w:before="0"/>
        <w:ind w:left="1701" w:right="5518" w:firstLine="0"/>
        <w:jc w:val="left"/>
        <w:rPr>
          <w:b/>
          <w:sz w:val="22"/>
        </w:rPr>
      </w:pPr>
      <w:bookmarkStart w:name="Director General " w:id="1"/>
      <w:bookmarkEnd w:id="1"/>
      <w:r>
        <w:rPr/>
      </w:r>
      <w:r>
        <w:rPr>
          <w:sz w:val="22"/>
        </w:rPr>
        <w:t>Director General </w:t>
      </w:r>
      <w:hyperlink r:id="rId7">
        <w:r>
          <w:rPr>
            <w:color w:val="1154CC"/>
            <w:spacing w:val="-2"/>
            <w:sz w:val="22"/>
            <w:u w:val="thick" w:color="1154CC"/>
          </w:rPr>
          <w:t>contabilidad@hacienda.go.cr</w:t>
        </w:r>
      </w:hyperlink>
      <w:r>
        <w:rPr>
          <w:color w:val="1154CC"/>
          <w:spacing w:val="-2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CONTABILIDAD</w:t>
      </w:r>
      <w:r>
        <w:rPr>
          <w:b/>
          <w:spacing w:val="-14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NACIONAL</w:t>
      </w:r>
    </w:p>
    <w:p>
      <w:pPr>
        <w:pStyle w:val="BodyText"/>
        <w:spacing w:before="42"/>
        <w:rPr>
          <w:b/>
        </w:rPr>
      </w:pPr>
    </w:p>
    <w:p>
      <w:pPr>
        <w:pStyle w:val="BodyText"/>
        <w:ind w:left="1701"/>
      </w:pPr>
      <w:r>
        <w:rPr/>
        <w:t>Estimado</w:t>
      </w:r>
      <w:r>
        <w:rPr>
          <w:spacing w:val="-8"/>
        </w:rPr>
        <w:t> </w:t>
      </w:r>
      <w:r>
        <w:rPr>
          <w:spacing w:val="-2"/>
        </w:rPr>
        <w:t>señor:</w:t>
      </w:r>
    </w:p>
    <w:p>
      <w:pPr>
        <w:pStyle w:val="BodyText"/>
        <w:spacing w:before="94"/>
      </w:pPr>
    </w:p>
    <w:p>
      <w:pPr>
        <w:pStyle w:val="BodyText"/>
        <w:ind w:left="580" w:right="1048"/>
        <w:jc w:val="center"/>
      </w:pPr>
      <w:r>
        <w:rPr>
          <w:b/>
        </w:rPr>
        <w:t>Asunto:</w:t>
      </w:r>
      <w:r>
        <w:rPr>
          <w:b/>
          <w:spacing w:val="-8"/>
        </w:rPr>
        <w:t> </w:t>
      </w:r>
      <w:r>
        <w:rPr/>
        <w:t>Remisión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Financieros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febrero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  <w:spacing w:before="184"/>
      </w:pPr>
    </w:p>
    <w:p>
      <w:pPr>
        <w:pStyle w:val="BodyText"/>
        <w:spacing w:line="369" w:lineRule="auto"/>
        <w:ind w:left="1701" w:right="1126" w:firstLine="705"/>
        <w:jc w:val="both"/>
      </w:pPr>
      <w:r>
        <w:rPr/>
        <w:t>Con el fin de cumplir con lo dispuesto en la</w:t>
      </w:r>
      <w:r>
        <w:rPr>
          <w:spacing w:val="-3"/>
        </w:rPr>
        <w:t> </w:t>
      </w:r>
      <w:r>
        <w:rPr/>
        <w:t>Directriz</w:t>
      </w:r>
      <w:r>
        <w:rPr>
          <w:spacing w:val="-3"/>
        </w:rPr>
        <w:t> </w:t>
      </w:r>
      <w:r>
        <w:rPr/>
        <w:t>DCN-0012-2021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07 de diciembre de 2021, adjunto encontrará los Estados Financieros (EEFF) de esta Institución y anexos correspondientes al 28 de febrero de 2025.</w:t>
      </w:r>
    </w:p>
    <w:p>
      <w:pPr>
        <w:pStyle w:val="BodyText"/>
        <w:spacing w:before="138"/>
      </w:pPr>
    </w:p>
    <w:p>
      <w:pPr>
        <w:pStyle w:val="BodyText"/>
        <w:ind w:left="1048" w:right="468"/>
        <w:jc w:val="center"/>
      </w:pPr>
      <w:r>
        <w:rPr>
          <w:spacing w:val="-2"/>
        </w:rPr>
        <w:t>Atentamente,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3"/>
        <w:gridCol w:w="4016"/>
      </w:tblGrid>
      <w:tr>
        <w:trPr>
          <w:trHeight w:val="1277" w:hRule="atLeast"/>
        </w:trPr>
        <w:tc>
          <w:tcPr>
            <w:tcW w:w="532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Licda.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Acosta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Zúñiga</w:t>
            </w:r>
          </w:p>
          <w:p>
            <w:pPr>
              <w:pStyle w:val="TableParagraph"/>
              <w:spacing w:before="47"/>
              <w:rPr>
                <w:b/>
                <w:sz w:val="22"/>
              </w:rPr>
            </w:pPr>
            <w:r>
              <w:rPr>
                <w:b/>
                <w:sz w:val="22"/>
              </w:rPr>
              <w:t>CONTRALORA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REPÚBLICA</w:t>
            </w:r>
          </w:p>
        </w:tc>
        <w:tc>
          <w:tcPr>
            <w:tcW w:w="4016" w:type="dxa"/>
          </w:tcPr>
          <w:p>
            <w:pPr>
              <w:pStyle w:val="TableParagraph"/>
              <w:spacing w:line="246" w:lineRule="exact"/>
              <w:ind w:left="463" w:right="2"/>
              <w:rPr>
                <w:sz w:val="22"/>
              </w:rPr>
            </w:pPr>
            <w:r>
              <w:rPr>
                <w:sz w:val="22"/>
              </w:rPr>
              <w:t>Carlos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Madrigal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Bravo</w:t>
            </w:r>
          </w:p>
          <w:p>
            <w:pPr>
              <w:pStyle w:val="TableParagraph"/>
              <w:spacing w:line="285" w:lineRule="auto" w:before="47"/>
              <w:ind w:left="463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JEFE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UNIDAD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ADMINISTRACIÓN </w:t>
            </w:r>
            <w:r>
              <w:rPr>
                <w:b/>
                <w:spacing w:val="-2"/>
                <w:sz w:val="22"/>
              </w:rPr>
              <w:t>FINANCIERA</w:t>
            </w:r>
          </w:p>
        </w:tc>
      </w:tr>
      <w:tr>
        <w:trPr>
          <w:trHeight w:val="977" w:hRule="atLeast"/>
        </w:trPr>
        <w:tc>
          <w:tcPr>
            <w:tcW w:w="5323" w:type="dxa"/>
          </w:tcPr>
          <w:p>
            <w:pPr>
              <w:pStyle w:val="TableParagraph"/>
              <w:spacing w:before="17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Licda.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Jeannette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Fallas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Castro</w:t>
            </w:r>
          </w:p>
          <w:p>
            <w:pPr>
              <w:pStyle w:val="TableParagraph"/>
              <w:spacing w:line="233" w:lineRule="exact" w:before="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CONTADORA</w:t>
            </w:r>
          </w:p>
        </w:tc>
        <w:tc>
          <w:tcPr>
            <w:tcW w:w="4016" w:type="dxa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153"/>
        <w:ind w:left="170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4379851</wp:posOffset>
            </wp:positionH>
            <wp:positionV relativeFrom="paragraph">
              <wp:posOffset>37396</wp:posOffset>
            </wp:positionV>
            <wp:extent cx="1580926" cy="5032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926" cy="50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ci:</w:t>
      </w:r>
      <w:r>
        <w:rPr>
          <w:spacing w:val="-8"/>
          <w:sz w:val="20"/>
        </w:rPr>
        <w:t> </w:t>
      </w:r>
      <w:r>
        <w:rPr>
          <w:sz w:val="20"/>
        </w:rPr>
        <w:t>Contabilidad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CGR</w:t>
      </w:r>
    </w:p>
    <w:p>
      <w:pPr>
        <w:spacing w:before="40"/>
        <w:ind w:left="1701" w:right="0" w:firstLine="0"/>
        <w:jc w:val="left"/>
        <w:rPr>
          <w:b/>
          <w:sz w:val="20"/>
        </w:rPr>
      </w:pPr>
      <w:r>
        <w:rPr>
          <w:b/>
          <w:sz w:val="20"/>
        </w:rPr>
        <w:t>G.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2025000086-</w:t>
      </w:r>
      <w:r>
        <w:rPr>
          <w:b/>
          <w:spacing w:val="-10"/>
          <w:sz w:val="20"/>
        </w:rPr>
        <w:t>4</w:t>
      </w:r>
    </w:p>
    <w:p>
      <w:pPr>
        <w:spacing w:before="40"/>
        <w:ind w:left="1701" w:right="0" w:firstLine="0"/>
        <w:jc w:val="left"/>
        <w:rPr>
          <w:b/>
          <w:sz w:val="20"/>
        </w:rPr>
      </w:pPr>
      <w:r>
        <w:rPr>
          <w:b/>
          <w:sz w:val="20"/>
        </w:rPr>
        <w:t>C.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2025008381</w:t>
      </w:r>
    </w:p>
    <w:sectPr>
      <w:footerReference w:type="default" r:id="rId5"/>
      <w:type w:val="continuous"/>
      <w:pgSz w:w="12240" w:h="15840"/>
      <w:pgMar w:header="0" w:footer="1038" w:top="0" w:bottom="1220" w:left="0" w:right="6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auto"/>
    <w:pitch w:val="default"/>
  </w:font>
  <w:font w:name="Arial">
    <w:altName w:val="Arial"/>
    <w:charset w:val="0"/>
    <w:family w:val="swiss"/>
    <w:pitch w:val="variable"/>
  </w:font>
  <w:font w:name="Century Gothic Bold">
    <w:altName w:val="Century Gothic Bold"/>
    <w:charset w:val="0"/>
    <w:family w:val="auto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4232996</wp:posOffset>
              </wp:positionH>
              <wp:positionV relativeFrom="page">
                <wp:posOffset>9259809</wp:posOffset>
              </wp:positionV>
              <wp:extent cx="3072130" cy="3619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721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96" w:lineRule="auto" w:before="48"/>
                            <w:ind w:left="20" w:right="18" w:firstLine="2338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z w:val="14"/>
                            </w:rPr>
                            <w:t>Contraloría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z w:val="14"/>
                            </w:rPr>
                            <w:t>República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color w:val="24387C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T: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(506)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2501-8071,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F: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(506)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</w:rPr>
                            <w:t>2220-3110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35"/>
                              <w:sz w:val="14"/>
                            </w:rPr>
                            <w:t>C: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40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entury Gothic" w:hAnsi="Century Gothic"/>
                                <w:color w:val="24387C"/>
                                <w:spacing w:val="-2"/>
                                <w:sz w:val="14"/>
                              </w:rPr>
                              <w:t>contraloria.general@cgr.go.cr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24387C"/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entury Gothic" w:hAnsi="Century Gothic"/>
                                <w:color w:val="0000FF"/>
                                <w:sz w:val="14"/>
                                <w:u w:val="thick" w:color="0000FF"/>
                              </w:rPr>
                              <w:t>http://www.cgr.go.cr/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51"/>
                              <w:sz w:val="14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  <w:u w:val="none"/>
                            </w:rPr>
                            <w:t>Apdo.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  <w:u w:val="none"/>
                            </w:rPr>
                            <w:t>1179-1000,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-10"/>
                              <w:sz w:val="14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  <w:u w:val="none"/>
                            </w:rPr>
                            <w:t>San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pacing w:val="40"/>
                              <w:sz w:val="14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color w:val="24387C"/>
                              <w:sz w:val="14"/>
                              <w:u w:val="none"/>
                            </w:rPr>
                            <w:t>José, Costa Rica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3.306793pt;margin-top:729.118896pt;width:241.9pt;height:28.5pt;mso-position-horizontal-relative:page;mso-position-vertical-relative:page;z-index:-15774208" type="#_x0000_t202" id="docshape1" filled="false" stroked="false">
              <v:textbox inset="0,0,0,0">
                <w:txbxContent>
                  <w:p>
                    <w:pPr>
                      <w:spacing w:line="96" w:lineRule="auto" w:before="48"/>
                      <w:ind w:left="20" w:right="18" w:firstLine="2338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  <w:r>
                      <w:rPr>
                        <w:rFonts w:ascii="Century Gothic Bold" w:hAnsi="Century Gothic Bold"/>
                        <w:b/>
                        <w:color w:val="24387C"/>
                        <w:sz w:val="14"/>
                      </w:rPr>
                      <w:t>Contraloría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z w:val="14"/>
                      </w:rPr>
                      <w:t>General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z w:val="14"/>
                      </w:rPr>
                      <w:t>de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z w:val="14"/>
                      </w:rPr>
                      <w:t>la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z w:val="14"/>
                      </w:rPr>
                      <w:t>República</w:t>
                    </w:r>
                    <w:r>
                      <w:rPr>
                        <w:rFonts w:ascii="Century Gothic Bold" w:hAnsi="Century Gothic Bold"/>
                        <w:b/>
                        <w:color w:val="24387C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T: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(506)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2501-8071,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F:</w:t>
                    </w:r>
                    <w:r>
                      <w:rPr>
                        <w:rFonts w:ascii="Century Gothic" w:hAnsi="Century Gothic"/>
                        <w:color w:val="24387C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(506)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</w:rPr>
                      <w:t>2220-3110</w:t>
                    </w:r>
                    <w:r>
                      <w:rPr>
                        <w:rFonts w:ascii="Century Gothic" w:hAnsi="Century Gothic"/>
                        <w:color w:val="24387C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pacing w:val="-135"/>
                        <w:sz w:val="14"/>
                      </w:rPr>
                      <w:t>C:</w:t>
                    </w:r>
                    <w:r>
                      <w:rPr>
                        <w:rFonts w:ascii="Century Gothic" w:hAnsi="Century Gothic"/>
                        <w:color w:val="24387C"/>
                        <w:spacing w:val="40"/>
                        <w:sz w:val="14"/>
                      </w:rPr>
                      <w:t> </w:t>
                    </w:r>
                    <w:hyperlink r:id="rId1">
                      <w:r>
                        <w:rPr>
                          <w:rFonts w:ascii="Century Gothic" w:hAnsi="Century Gothic"/>
                          <w:color w:val="24387C"/>
                          <w:spacing w:val="-2"/>
                          <w:sz w:val="14"/>
                        </w:rPr>
                        <w:t>contraloria.general@cgr.go.cr</w:t>
                      </w:r>
                    </w:hyperlink>
                    <w:r>
                      <w:rPr>
                        <w:rFonts w:ascii="Century Gothic" w:hAnsi="Century Gothic"/>
                        <w:color w:val="24387C"/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rFonts w:ascii="Century Gothic" w:hAnsi="Century Gothic"/>
                          <w:color w:val="0000FF"/>
                          <w:sz w:val="14"/>
                          <w:u w:val="thick" w:color="0000FF"/>
                        </w:rPr>
                        <w:t>http://www.cgr.go.cr/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51"/>
                        <w:sz w:val="14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  <w:u w:val="none"/>
                      </w:rPr>
                      <w:t>Apdo.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  <w:u w:val="none"/>
                      </w:rPr>
                      <w:t>1179-1000,</w:t>
                    </w:r>
                    <w:r>
                      <w:rPr>
                        <w:rFonts w:ascii="Century Gothic" w:hAnsi="Century Gothic"/>
                        <w:color w:val="24387C"/>
                        <w:spacing w:val="-10"/>
                        <w:sz w:val="14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  <w:u w:val="none"/>
                      </w:rPr>
                      <w:t>San</w:t>
                    </w:r>
                    <w:r>
                      <w:rPr>
                        <w:rFonts w:ascii="Century Gothic" w:hAnsi="Century Gothic"/>
                        <w:color w:val="24387C"/>
                        <w:spacing w:val="40"/>
                        <w:sz w:val="14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color w:val="24387C"/>
                        <w:sz w:val="14"/>
                        <w:u w:val="none"/>
                      </w:rPr>
                      <w:t>José, Costa Rica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596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right="457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contabilidad@hacienda.go.cr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ntraloria.general@cgr.go.cr" TargetMode="External"/><Relationship Id="rId2" Type="http://schemas.openxmlformats.org/officeDocument/2006/relationships/hyperlink" Target="http://www.cgr.go.c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DGA-UAF-0068 (07290) CN Estados Financieros Febrero 2025</dc:title>
  <dcterms:created xsi:type="dcterms:W3CDTF">2025-04-04T16:21:49Z</dcterms:created>
  <dcterms:modified xsi:type="dcterms:W3CDTF">2025-04-04T16:21:49Z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2025-04-04T00:00:00Z</vt:filetime>
  </property>
  <property fmtid="{D5CDD505-2E9C-101B-9397-08002B2CF9AE}" pid="3" name="Producer">
    <vt:lpwstr>Skia/PDF m136 Google Docs Renderer;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</vt:lpwstr>
  </property>
</Properties>
</file>